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8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关于湛江金华龙砂浆有限公司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年产40万m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vertAlign w:val="superscript"/>
          <w:lang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混凝土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生产线扩建项目环境影响报告表的批复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湛江金华龙砂浆有限公司：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你单位报批的《湛江金华龙砂浆有限公司年产40万m3混凝土生产线扩建项目环境影响报告表》（以下简称“报告表”）等材料收悉。经研究，批复如下：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湛江金华龙砂浆有限公司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年产40万m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混凝土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生产线扩建项目在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</w:rPr>
        <w:t>原项目未利用空地上建设，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扩建规模为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</w:rPr>
        <w:t>年生产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  <w:t>混凝土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</w:rPr>
        <w:t>0万m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主要建设内容包括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在现有厂区内增加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1条40万m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/a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商品混凝土生产线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vertAlign w:val="baseline"/>
          <w:lang w:val="en-US" w:eastAsia="zh-CN"/>
        </w:rPr>
        <w:t>新增1栋两层办公楼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拆除原有的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原料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仓库用作原料堆场并进行全封闭覆盖，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同时优化原项目治理措施，包括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vertAlign w:val="baseline"/>
          <w:lang w:val="en-US" w:eastAsia="zh-CN"/>
        </w:rPr>
        <w:t>对厂区内的原料堆场和部分的生产区域进行全封闭覆盖等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扩建完成后全厂总占面积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20266.8m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，总建筑面积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，改扩建完成后全厂共有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2条干粉砂浆生产线（每条年产20万吨干粉砂浆）、1条年产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20万m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湿拌砂浆生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产线以及1条年产40万m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混凝土生产线。改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扩建前后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原辅材料消耗情况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见表1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表1 项目改扩建前后原辅材料及消耗量  </w:t>
      </w:r>
    </w:p>
    <w:tbl>
      <w:tblPr>
        <w:tblStyle w:val="1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352"/>
        <w:gridCol w:w="1174"/>
        <w:gridCol w:w="1174"/>
        <w:gridCol w:w="1174"/>
        <w:gridCol w:w="1174"/>
        <w:gridCol w:w="1174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原、辅料名称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扩建前年用量（t）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扩建项目用量（t）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扩建后年用量（t）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变化量（t）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最大存放量（t）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存放位置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水泥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140000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100000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100000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储料罐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砂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520000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317200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837200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317200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堆场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细石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+420000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+420000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堆场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粉煤灰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30000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24000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24000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储料罐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矿粉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+12000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+12000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储料罐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外加剂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3120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仓库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水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19901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79901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+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60000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/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集水池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生物质燃料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800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仓库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6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46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生活用水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700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140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840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+140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8" w:type="pc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700万元，其中环保投资约300万元，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占总投资比例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42.9%。改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扩建完成后项目员工人数增至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45人，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均不在厂内食宿。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项目年产250天，每天生产时间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h。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的评价结论及湛江市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生态环境技术中心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《关于湛江金华龙砂浆有限公司年产40万m3混凝土生产线扩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建项目环境影响报告表的评估意见》（湛环技评表〔20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严格执行“三同时”制度，并落实各项污染防治措施，污染防治设施要同时设计、同时施工、同时投入运行。项目竣工后，你公司须按规定的标准和程序，对配套建设的环境保护设施进行验收，验收合格后方可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）该项目须加强施工建设期和营运期“三废”防治设施维护，严格按照国家标准规范及环评的要求做好各项污染防治，确保项目废气、噪声稳定达标排放，生产废水、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检验室废水、</w:t>
      </w:r>
      <w:r>
        <w:rPr>
          <w:rFonts w:hint="eastAsia" w:ascii="仿宋_GB2312" w:hAnsi="仿宋_GB2312" w:eastAsia="仿宋_GB2312" w:cs="仿宋_GB2312"/>
          <w:sz w:val="32"/>
          <w:szCs w:val="32"/>
        </w:rPr>
        <w:t>初期雨水全部回用不外排。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（三）该项目固体废物需严格按环评要求妥善处置，如实记录产生固体废物的种类、数量、利用、贮存、处置、流向等信息，并建立管理台帐，存档备查；生活垃圾定点收集，交由环卫部门定期清运。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该项目运营期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粉尘排放浓度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《水泥工业大气污染物排放标准》（GB4915-2013）表3中无组织排放限值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要求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生活污水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执行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广东省《水污染物排放限值》（DB44/26-2001）第二时段三级标准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厂界噪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音执行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《工业企业厂界环境噪声排放标准》(GB12348－2008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中2类标准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2022年6月15日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C7469"/>
    <w:multiLevelType w:val="singleLevel"/>
    <w:tmpl w:val="617C7469"/>
    <w:lvl w:ilvl="0" w:tentative="0">
      <w:start w:val="1"/>
      <w:numFmt w:val="bullet"/>
      <w:pStyle w:val="7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B187C8B"/>
    <w:rsid w:val="0EE7640C"/>
    <w:rsid w:val="10C65629"/>
    <w:rsid w:val="110A202D"/>
    <w:rsid w:val="13E8376E"/>
    <w:rsid w:val="1DF77A3F"/>
    <w:rsid w:val="1E9E08B2"/>
    <w:rsid w:val="25776CA5"/>
    <w:rsid w:val="2EB26202"/>
    <w:rsid w:val="3BEE10C4"/>
    <w:rsid w:val="3E847D70"/>
    <w:rsid w:val="3EF41081"/>
    <w:rsid w:val="3FE7430F"/>
    <w:rsid w:val="42B4286E"/>
    <w:rsid w:val="45986459"/>
    <w:rsid w:val="50A1686B"/>
    <w:rsid w:val="513B5092"/>
    <w:rsid w:val="526B2160"/>
    <w:rsid w:val="581466B3"/>
    <w:rsid w:val="5CDE636C"/>
    <w:rsid w:val="682E3612"/>
    <w:rsid w:val="68360B26"/>
    <w:rsid w:val="6AF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qFormat="1" w:unhideWhenUsed="0" w:uiPriority="0" w:semiHidden="0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styleId="4">
    <w:name w:val="E-mail Signature"/>
    <w:basedOn w:val="1"/>
    <w:next w:val="5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5">
    <w:name w:val="文章"/>
    <w:basedOn w:val="1"/>
    <w:next w:val="6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6">
    <w:name w:val="List"/>
    <w:basedOn w:val="1"/>
    <w:next w:val="7"/>
    <w:unhideWhenUsed/>
    <w:qFormat/>
    <w:uiPriority w:val="0"/>
    <w:pPr>
      <w:jc w:val="center"/>
    </w:pPr>
    <w:rPr>
      <w:sz w:val="24"/>
      <w:szCs w:val="28"/>
    </w:rPr>
  </w:style>
  <w:style w:type="paragraph" w:styleId="7">
    <w:name w:val="List Bullet 2"/>
    <w:basedOn w:val="1"/>
    <w:next w:val="8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8">
    <w:name w:val="xl70"/>
    <w:basedOn w:val="1"/>
    <w:next w:val="9"/>
    <w:qFormat/>
    <w:uiPriority w:val="0"/>
    <w:pPr>
      <w:widowControl/>
      <w:spacing w:before="280" w:after="280" w:line="240" w:lineRule="auto"/>
      <w:ind w:firstLine="0"/>
    </w:pPr>
    <w:rPr>
      <w:rFonts w:ascii="宋体" w:hAnsi="Times New Roman" w:eastAsia="宋体" w:cs="Times New Roman"/>
    </w:rPr>
  </w:style>
  <w:style w:type="paragraph" w:customStyle="1" w:styleId="9">
    <w:name w:val="正文缩进1"/>
    <w:basedOn w:val="1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0">
    <w:name w:val="td1"/>
    <w:basedOn w:val="1"/>
    <w:next w:val="1"/>
    <w:qFormat/>
    <w:uiPriority w:val="0"/>
    <w:pPr>
      <w:widowControl/>
      <w:spacing w:before="280" w:after="280" w:line="300" w:lineRule="atLeast"/>
      <w:ind w:firstLine="200"/>
    </w:pPr>
    <w:rPr>
      <w:rFonts w:ascii="Times New Roman" w:hAnsi="Times New Roman" w:eastAsia="宋体" w:cs="Times New Roman"/>
      <w:color w:val="000000"/>
      <w:sz w:val="18"/>
    </w:rPr>
  </w:style>
  <w:style w:type="paragraph" w:styleId="11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12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1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4">
    <w:name w:val="toc 2"/>
    <w:basedOn w:val="1"/>
    <w:next w:val="4"/>
    <w:qFormat/>
    <w:uiPriority w:val="0"/>
    <w:pPr>
      <w:ind w:left="210"/>
      <w:jc w:val="left"/>
    </w:pPr>
    <w:rPr>
      <w:rFonts w:ascii="Calibri" w:hAnsi="Calibri" w:eastAsia="宋体" w:cs="Calibri"/>
      <w:smallCaps/>
      <w:sz w:val="20"/>
    </w:rPr>
  </w:style>
  <w:style w:type="paragraph" w:customStyle="1" w:styleId="17">
    <w:name w:val="样式35"/>
    <w:basedOn w:val="1"/>
    <w:next w:val="18"/>
    <w:qFormat/>
    <w:uiPriority w:val="0"/>
    <w:pPr>
      <w:spacing w:line="312" w:lineRule="auto"/>
      <w:ind w:firstLine="567"/>
    </w:pPr>
    <w:rPr>
      <w:rFonts w:ascii="宋体" w:hAnsi="Times New Roman" w:eastAsia="宋体" w:cs="Times New Roman"/>
      <w:sz w:val="28"/>
    </w:rPr>
  </w:style>
  <w:style w:type="paragraph" w:customStyle="1" w:styleId="18">
    <w:name w:val="font6"/>
    <w:basedOn w:val="1"/>
    <w:next w:val="14"/>
    <w:qFormat/>
    <w:uiPriority w:val="0"/>
    <w:pPr>
      <w:widowControl/>
      <w:spacing w:before="280" w:after="280" w:line="240" w:lineRule="auto"/>
      <w:ind w:firstLine="0"/>
    </w:pPr>
    <w:rPr>
      <w:rFonts w:ascii="Times New Roman" w:hAnsi="Times New Roman" w:eastAsia="宋体" w:cs="Times New Roman"/>
      <w:sz w:val="21"/>
    </w:rPr>
  </w:style>
  <w:style w:type="paragraph" w:customStyle="1" w:styleId="19">
    <w:name w:val="段落正文"/>
    <w:basedOn w:val="1"/>
    <w:qFormat/>
    <w:uiPriority w:val="0"/>
    <w:pPr>
      <w:spacing w:line="360" w:lineRule="auto"/>
      <w:ind w:firstLine="20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692</TotalTime>
  <ScaleCrop>false</ScaleCrop>
  <LinksUpToDate>false</LinksUpToDate>
  <CharactersWithSpaces>590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2022-06-22T01:53:16Z</cp:lastPrinted>
  <dcterms:modified xsi:type="dcterms:W3CDTF">2022-06-22T02:44:38Z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20A2D9FDBE4F499A89BE21FB62452437</vt:lpwstr>
  </property>
</Properties>
</file>