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20"/>
        </w:tabs>
        <w:wordWrap w:val="0"/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wordWrap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湛环建霞〔20</w:t>
      </w:r>
      <w:r>
        <w:rPr>
          <w:rFonts w:hint="eastAsia" w:ascii="仿宋_GB2312" w:eastAsia="仿宋_GB2312"/>
          <w:sz w:val="32"/>
          <w:lang w:val="en-US" w:eastAsia="zh-CN"/>
        </w:rPr>
        <w:t>22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6</w:t>
      </w:r>
      <w:r>
        <w:rPr>
          <w:rFonts w:hint="eastAsia" w:ascii="仿宋_GB2312" w:eastAsia="仿宋_GB2312"/>
          <w:sz w:val="32"/>
        </w:rPr>
        <w:t>号</w:t>
      </w:r>
    </w:p>
    <w:p>
      <w:pPr>
        <w:spacing w:line="540" w:lineRule="exact"/>
        <w:rPr>
          <w:rFonts w:hint="eastAsia" w:ascii="仿宋_GB2312" w:eastAsia="仿宋_GB2312"/>
          <w:sz w:val="32"/>
          <w:szCs w:val="20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关于危险废物暂存间项目环境影响报告表的批复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湛江港（集团）股份有限公司第一分公司：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6" w:firstLineChars="177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你单位报批的《危险废物暂存间项目环境影响报告表》（以下简称“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”）等材料收悉。经研究，批复如下：</w:t>
      </w:r>
    </w:p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一、危险废物暂存间项目位于湛江市霞山区友谊街道友谊路1号湛江港（集团）股份有限公司第一分公司内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总占地面积为129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m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vertAlign w:val="baseline"/>
          <w:lang w:val="en-US" w:eastAsia="zh-CN"/>
        </w:rPr>
        <w:t>，主要暂存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企业产生的危险废物，种类为废矿物油（HW08）、废油桶（HW49）、废油漆桶（HW49）、废含油抹布等（HW49）和废蓄电池（HW31），最大储存约为10吨；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危险废物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存情况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详见表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1，工程内容见表2。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表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1 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项目危险废物</w:t>
      </w:r>
      <w:r>
        <w:rPr>
          <w:rFonts w:hint="eastAsia" w:ascii="Times New Roman" w:hAnsi="Times New Roman" w:cs="Times New Roman"/>
          <w:b w:val="0"/>
          <w:bCs/>
          <w:sz w:val="32"/>
          <w:szCs w:val="32"/>
          <w:lang w:eastAsia="zh-CN"/>
        </w:rPr>
        <w:t>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存情况表</w:t>
      </w:r>
    </w:p>
    <w:tbl>
      <w:tblPr>
        <w:tblStyle w:val="2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1255"/>
        <w:gridCol w:w="1255"/>
        <w:gridCol w:w="1514"/>
        <w:gridCol w:w="1235"/>
        <w:gridCol w:w="1255"/>
        <w:gridCol w:w="975"/>
        <w:gridCol w:w="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名称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物态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最大储存量（t）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产生量（t）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最大储存周期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危废种类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危险特性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废矿物油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液态、半固态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6个月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HW08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T，I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废油桶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固态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1年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HW49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废油漆桶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固态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0.5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0.5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1年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HW49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废含油抹布等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固态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1.5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1.5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1年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HW49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废蓄电池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固态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1年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HW31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T，C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合计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——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——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10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15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——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——</w:t>
            </w:r>
          </w:p>
        </w:tc>
        <w:tc>
          <w:tcPr>
            <w:tcW w:w="0" w:type="auto"/>
            <w:noWrap w:val="0"/>
            <w:vAlign w:val="center"/>
          </w:tcPr>
          <w:p>
            <w:pPr>
              <w:pStyle w:val="2"/>
              <w:spacing w:before="0" w:beforeLines="0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——</w:t>
            </w:r>
          </w:p>
        </w:tc>
      </w:tr>
    </w:tbl>
    <w:p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560" w:firstLineChars="800"/>
        <w:jc w:val="both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工程内容</w:t>
      </w:r>
    </w:p>
    <w:tbl>
      <w:tblPr>
        <w:tblStyle w:val="2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577"/>
        <w:gridCol w:w="893"/>
        <w:gridCol w:w="4643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项目类别</w:t>
            </w:r>
          </w:p>
        </w:tc>
        <w:tc>
          <w:tcPr>
            <w:tcW w:w="812" w:type="pct"/>
            <w:gridSpan w:val="2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项目名称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建设规模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430" w:type="pct"/>
            <w:vMerge w:val="restar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主体工程</w:t>
            </w:r>
          </w:p>
        </w:tc>
        <w:tc>
          <w:tcPr>
            <w:tcW w:w="319" w:type="pct"/>
            <w:vMerge w:val="restar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危废暂存间</w:t>
            </w:r>
          </w:p>
        </w:tc>
        <w:tc>
          <w:tcPr>
            <w:tcW w:w="493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1#危废间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pStyle w:val="19"/>
              <w:spacing w:before="100" w:beforeLines="0" w:beforeAutospacing="1" w:line="240" w:lineRule="auto"/>
              <w:ind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砖混结构120m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，设置有地面防渗、内部收集沟、收集池、应急桶配置、标识标牌建设、台账管理</w:t>
            </w:r>
          </w:p>
        </w:tc>
        <w:tc>
          <w:tcPr>
            <w:tcW w:w="1195" w:type="pct"/>
            <w:vMerge w:val="restar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利用原有的厂房进行改造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430" w:type="pct"/>
            <w:vMerge w:val="continue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19" w:type="pct"/>
            <w:vMerge w:val="continue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493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2#危废间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pStyle w:val="19"/>
              <w:spacing w:before="100" w:beforeLines="0" w:beforeAutospacing="1" w:line="240" w:lineRule="auto"/>
              <w:ind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砖混结构9m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，地面防渗、围堰、标识标牌建设、台账管理</w:t>
            </w:r>
          </w:p>
        </w:tc>
        <w:tc>
          <w:tcPr>
            <w:tcW w:w="1195" w:type="pct"/>
            <w:vMerge w:val="continue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430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辅助工程</w:t>
            </w:r>
          </w:p>
        </w:tc>
        <w:tc>
          <w:tcPr>
            <w:tcW w:w="812" w:type="pct"/>
            <w:gridSpan w:val="2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辅助设施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项目设有配套的通讯、照明、消防设施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已建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  <w:jc w:val="center"/>
        </w:trPr>
        <w:tc>
          <w:tcPr>
            <w:tcW w:w="430" w:type="pct"/>
            <w:vMerge w:val="restar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公用工程</w:t>
            </w:r>
          </w:p>
        </w:tc>
        <w:tc>
          <w:tcPr>
            <w:tcW w:w="812" w:type="pct"/>
            <w:gridSpan w:val="2"/>
            <w:noWrap w:val="0"/>
            <w:vAlign w:val="center"/>
          </w:tcPr>
          <w:p>
            <w:pPr>
              <w:pStyle w:val="38"/>
              <w:widowControl w:val="0"/>
              <w:adjustRightInd/>
              <w:snapToGrid/>
              <w:spacing w:before="100" w:beforeLines="0" w:beforeAutospacing="1" w:after="0" w:line="240" w:lineRule="auto"/>
              <w:ind w:right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供水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pStyle w:val="38"/>
              <w:widowControl w:val="0"/>
              <w:adjustRightInd/>
              <w:snapToGrid/>
              <w:spacing w:before="100" w:beforeLines="0" w:beforeAutospacing="1" w:after="0" w:line="240" w:lineRule="auto"/>
              <w:ind w:right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本项目无需用水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pStyle w:val="38"/>
              <w:widowControl w:val="0"/>
              <w:adjustRightInd/>
              <w:snapToGrid/>
              <w:spacing w:before="100" w:beforeLines="0" w:beforeAutospacing="1" w:after="0" w:line="240" w:lineRule="auto"/>
              <w:ind w:right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  <w:jc w:val="center"/>
        </w:trPr>
        <w:tc>
          <w:tcPr>
            <w:tcW w:w="430" w:type="pct"/>
            <w:vMerge w:val="continue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12" w:type="pct"/>
            <w:gridSpan w:val="2"/>
            <w:noWrap w:val="0"/>
            <w:vAlign w:val="center"/>
          </w:tcPr>
          <w:p>
            <w:pPr>
              <w:pStyle w:val="38"/>
              <w:widowControl w:val="0"/>
              <w:adjustRightInd/>
              <w:snapToGrid/>
              <w:spacing w:before="100" w:beforeLines="0" w:beforeAutospacing="1" w:after="0" w:line="240" w:lineRule="auto"/>
              <w:ind w:right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排水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pStyle w:val="38"/>
              <w:widowControl w:val="0"/>
              <w:adjustRightInd/>
              <w:snapToGrid/>
              <w:spacing w:before="100" w:beforeLines="0" w:beforeAutospacing="1" w:after="0" w:line="240" w:lineRule="auto"/>
              <w:ind w:right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本项目无生产废水产生，且无新增人员，危险废物暂存间使用及管理人员均为厂内现有人员统一调配，故不新增生活污水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pStyle w:val="38"/>
              <w:widowControl w:val="0"/>
              <w:adjustRightInd/>
              <w:snapToGrid/>
              <w:spacing w:before="100" w:beforeLines="0" w:beforeAutospacing="1" w:after="0" w:line="240" w:lineRule="auto"/>
              <w:ind w:right="0" w:firstLine="0" w:firstLineChars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30" w:type="pct"/>
            <w:vMerge w:val="continue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12" w:type="pct"/>
            <w:gridSpan w:val="2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供电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依托电厂现有工程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430" w:type="pct"/>
            <w:vMerge w:val="restar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环保工程</w:t>
            </w:r>
          </w:p>
        </w:tc>
        <w:tc>
          <w:tcPr>
            <w:tcW w:w="812" w:type="pct"/>
            <w:gridSpan w:val="2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废气处理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设有6台排气扇，位于在1#危废间墙壁上，无组织排放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430" w:type="pct"/>
            <w:vMerge w:val="continue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12" w:type="pct"/>
            <w:gridSpan w:val="2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危险废物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交有资质单位清运、处置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  <w:jc w:val="center"/>
        </w:trPr>
        <w:tc>
          <w:tcPr>
            <w:tcW w:w="430" w:type="pct"/>
            <w:vMerge w:val="continue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12" w:type="pct"/>
            <w:gridSpan w:val="2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噪声治理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排风扇选用低噪设备，并采用建筑隔声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430" w:type="pct"/>
            <w:vMerge w:val="continue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12" w:type="pct"/>
            <w:gridSpan w:val="2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环境风险</w:t>
            </w:r>
          </w:p>
        </w:tc>
        <w:tc>
          <w:tcPr>
            <w:tcW w:w="2563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危废库做好防风、防雨、防晒措施，地面、墙裙等并做好防渗，防止事故状态下收集桶废液泄露至地下水体；收集桶设置警示标志</w:t>
            </w:r>
          </w:p>
        </w:tc>
        <w:tc>
          <w:tcPr>
            <w:tcW w:w="1195" w:type="pct"/>
            <w:noWrap w:val="0"/>
            <w:vAlign w:val="center"/>
          </w:tcPr>
          <w:p>
            <w:pPr>
              <w:spacing w:before="100" w:beforeLines="0" w:beforeAutospacing="1"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/</w:t>
            </w:r>
          </w:p>
        </w:tc>
      </w:tr>
    </w:tbl>
    <w:p>
      <w:pPr>
        <w:pStyle w:val="3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/>
        <w:textAlignment w:val="auto"/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项目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只收集、暂存湛江港（集团）股份有限公司第一分公司内部产生的危险废物，不涉及危险废物的处置与加工再利用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由有该类危废处理资质单位进行回收处置。总投资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万元，其中环保投资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万元，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环保投资占比100%，项目设置危废间专管人员，由厂内抽调，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无新增工作人员；年工作365天，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一班制，工作8小时</w:t>
      </w:r>
      <w:r>
        <w:rPr>
          <w:rFonts w:hint="default" w:ascii="仿宋_GB2312" w:hAnsi="仿宋_GB2312" w:eastAsia="仿宋_GB2312" w:cs="仿宋_GB2312"/>
          <w:color w:val="00000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的评价结论及湛江市生态环境技术中心《关于危险废物暂存间项目环境影响报告表的评估意见》（湛环技评表〔202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号），在全面落实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中所列性质、规模、地点和拟采取的环境保护措施进行建设，从环境保护角度可行。我局原则通过对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的审查，你公司应按照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6" w:firstLineChars="177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（一）该项目须加强环保管理和“三废”污染防治设施维护，严格按照环评的要求落实各项污染防治措施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风险防范和应急处置措施，确保项目固废得到有效处置，各类污染物稳定达标排放，防止危险废物泄漏、火灾或爆炸等事故。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该项目须加强危险废物的管理。1.严格按照《危险废物贮存污染控制标准》（GB18597-2001及其2013年修改单）中的相关规定设计建设危险废物暂存间，满足防雨、防渗、防风、防晒、防漏等要求；2.危险废物须交由有资质的单位进行安全处置；3.建立危险废物管理台账，如实记录产生固体废物的种类、数量、利用、贮存、处置、流向等信息，存档备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（三）该项目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非甲烷总烃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执行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广东省《大气污染物排放限值》（DB44/27- 2001）中第二时段无组织排放监控浓度限值，厂区内VOCs无组织排放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执行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《挥发性有机物无组织排放控制标准》（GB37822-2019）厂区内VOCs无组织特别排放限值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566" w:firstLineChars="177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、若项目的性质、规模、地点、工艺或者防治污染的措施发生重大变动，应重新报批项目的环境影响评价文件。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</w:rPr>
      </w:pPr>
    </w:p>
    <w:p>
      <w:pPr>
        <w:pStyle w:val="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629" w:rightChars="0" w:firstLine="0" w:firstLineChars="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spacing w:line="580" w:lineRule="exact"/>
        <w:ind w:left="4469" w:leftChars="2128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2022年6月7日</w:t>
      </w:r>
    </w:p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小标宋-GB2312">
    <w:altName w:val="宋体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1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1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1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7C7469"/>
    <w:multiLevelType w:val="singleLevel"/>
    <w:tmpl w:val="617C7469"/>
    <w:lvl w:ilvl="0" w:tentative="0">
      <w:start w:val="1"/>
      <w:numFmt w:val="bullet"/>
      <w:pStyle w:val="14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E2YjU2NWMzMDFlZDI0M2JjZTQ5NjZmNGEzNDQifQ=="/>
  </w:docVars>
  <w:rsids>
    <w:rsidRoot w:val="00766A7D"/>
    <w:rsid w:val="0005552C"/>
    <w:rsid w:val="000F2D8C"/>
    <w:rsid w:val="000F3A7F"/>
    <w:rsid w:val="0014250C"/>
    <w:rsid w:val="001E0451"/>
    <w:rsid w:val="001E4738"/>
    <w:rsid w:val="0022269B"/>
    <w:rsid w:val="00222930"/>
    <w:rsid w:val="00227B17"/>
    <w:rsid w:val="0027790E"/>
    <w:rsid w:val="003B68A5"/>
    <w:rsid w:val="00401210"/>
    <w:rsid w:val="00422F2D"/>
    <w:rsid w:val="004C5BAF"/>
    <w:rsid w:val="00543BD7"/>
    <w:rsid w:val="005D36FB"/>
    <w:rsid w:val="00634111"/>
    <w:rsid w:val="006E225C"/>
    <w:rsid w:val="006F5D6F"/>
    <w:rsid w:val="00766A7D"/>
    <w:rsid w:val="00773639"/>
    <w:rsid w:val="00793BD3"/>
    <w:rsid w:val="007F2985"/>
    <w:rsid w:val="007F2AE6"/>
    <w:rsid w:val="007F434C"/>
    <w:rsid w:val="00823816"/>
    <w:rsid w:val="00891538"/>
    <w:rsid w:val="008E341F"/>
    <w:rsid w:val="00903D3B"/>
    <w:rsid w:val="0096014C"/>
    <w:rsid w:val="009671ED"/>
    <w:rsid w:val="009E5FFD"/>
    <w:rsid w:val="00A87A6E"/>
    <w:rsid w:val="00B67E72"/>
    <w:rsid w:val="00BB5ECF"/>
    <w:rsid w:val="00BE55BA"/>
    <w:rsid w:val="00C00CBA"/>
    <w:rsid w:val="00CA18AB"/>
    <w:rsid w:val="00CD7503"/>
    <w:rsid w:val="00D85488"/>
    <w:rsid w:val="00DB2F5A"/>
    <w:rsid w:val="00DF0E2E"/>
    <w:rsid w:val="00E64860"/>
    <w:rsid w:val="00EE15E9"/>
    <w:rsid w:val="00EE5BFF"/>
    <w:rsid w:val="00F85EA1"/>
    <w:rsid w:val="00FB008A"/>
    <w:rsid w:val="022C47A7"/>
    <w:rsid w:val="043A1A7E"/>
    <w:rsid w:val="09077E78"/>
    <w:rsid w:val="0A13354D"/>
    <w:rsid w:val="0B187C8B"/>
    <w:rsid w:val="0EE7640C"/>
    <w:rsid w:val="10C65629"/>
    <w:rsid w:val="13E8376E"/>
    <w:rsid w:val="1DF77A3F"/>
    <w:rsid w:val="1E9E08B2"/>
    <w:rsid w:val="25776CA5"/>
    <w:rsid w:val="28E40D21"/>
    <w:rsid w:val="2D090BF7"/>
    <w:rsid w:val="30646C80"/>
    <w:rsid w:val="3BEE10C4"/>
    <w:rsid w:val="3E847D70"/>
    <w:rsid w:val="45986459"/>
    <w:rsid w:val="461116BA"/>
    <w:rsid w:val="50A1686B"/>
    <w:rsid w:val="513B5092"/>
    <w:rsid w:val="526B2160"/>
    <w:rsid w:val="581466B3"/>
    <w:rsid w:val="5CDE636C"/>
    <w:rsid w:val="68360B26"/>
    <w:rsid w:val="6AFB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qFormat="1" w:unhideWhenUsed="0" w:uiPriority="0" w:semiHidden="0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2">
    <w:name w:val="heading 1"/>
    <w:basedOn w:val="1"/>
    <w:next w:val="1"/>
    <w:qFormat/>
    <w:uiPriority w:val="9"/>
    <w:pPr>
      <w:keepNext/>
      <w:ind w:firstLine="510"/>
      <w:jc w:val="center"/>
      <w:outlineLvl w:val="0"/>
    </w:pPr>
    <w:rPr>
      <w:sz w:val="28"/>
      <w:szCs w:val="20"/>
    </w:r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4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文本"/>
    <w:basedOn w:val="1"/>
    <w:next w:val="1"/>
    <w:qFormat/>
    <w:uiPriority w:val="0"/>
    <w:pPr>
      <w:autoSpaceDE w:val="0"/>
      <w:autoSpaceDN w:val="0"/>
      <w:ind w:firstLine="480"/>
    </w:pPr>
    <w:rPr>
      <w:lang w:val="zh-CN"/>
    </w:rPr>
  </w:style>
  <w:style w:type="paragraph" w:customStyle="1" w:styleId="4">
    <w:name w:val="样式35"/>
    <w:basedOn w:val="5"/>
    <w:next w:val="6"/>
    <w:qFormat/>
    <w:uiPriority w:val="0"/>
    <w:pPr>
      <w:tabs>
        <w:tab w:val="left" w:pos="0"/>
        <w:tab w:val="left" w:pos="360"/>
        <w:tab w:val="left" w:pos="540"/>
        <w:tab w:val="left" w:pos="567"/>
      </w:tabs>
      <w:spacing w:line="312" w:lineRule="auto"/>
      <w:ind w:firstLine="567"/>
    </w:pPr>
    <w:rPr>
      <w:rFonts w:ascii="宋体" w:hAnsi="Times New Roman" w:eastAsia="宋体" w:cs="Times New Roman"/>
      <w:sz w:val="28"/>
    </w:rPr>
  </w:style>
  <w:style w:type="paragraph" w:customStyle="1" w:styleId="5">
    <w:name w:val="表 内容"/>
    <w:basedOn w:val="1"/>
    <w:qFormat/>
    <w:uiPriority w:val="0"/>
    <w:pPr>
      <w:adjustRightInd w:val="0"/>
      <w:snapToGrid w:val="0"/>
      <w:spacing w:beforeLines="15" w:afterLines="15"/>
      <w:jc w:val="center"/>
    </w:pPr>
    <w:rPr>
      <w:sz w:val="21"/>
      <w:szCs w:val="21"/>
    </w:rPr>
  </w:style>
  <w:style w:type="paragraph" w:customStyle="1" w:styleId="6">
    <w:name w:val="font6"/>
    <w:basedOn w:val="1"/>
    <w:next w:val="7"/>
    <w:qFormat/>
    <w:uiPriority w:val="0"/>
    <w:pPr>
      <w:widowControl/>
      <w:spacing w:before="280" w:after="280" w:line="240" w:lineRule="auto"/>
      <w:ind w:firstLine="0"/>
    </w:pPr>
    <w:rPr>
      <w:rFonts w:ascii="Times New Roman" w:hAnsi="Times New Roman" w:eastAsia="宋体" w:cs="Times New Roman"/>
      <w:sz w:val="21"/>
    </w:rPr>
  </w:style>
  <w:style w:type="paragraph" w:styleId="7">
    <w:name w:val="toc 2"/>
    <w:basedOn w:val="1"/>
    <w:next w:val="8"/>
    <w:qFormat/>
    <w:uiPriority w:val="0"/>
    <w:pPr>
      <w:ind w:left="210"/>
      <w:jc w:val="left"/>
    </w:pPr>
    <w:rPr>
      <w:rFonts w:ascii="Calibri" w:hAnsi="Calibri" w:eastAsia="宋体" w:cs="Calibri"/>
      <w:smallCaps/>
      <w:sz w:val="20"/>
    </w:rPr>
  </w:style>
  <w:style w:type="paragraph" w:styleId="8">
    <w:name w:val="E-mail Signature"/>
    <w:basedOn w:val="1"/>
    <w:next w:val="9"/>
    <w:qFormat/>
    <w:uiPriority w:val="0"/>
    <w:pPr>
      <w:spacing w:line="460" w:lineRule="exact"/>
      <w:ind w:firstLine="200"/>
    </w:pPr>
    <w:rPr>
      <w:rFonts w:ascii="Times New Roman" w:hAnsi="Times New Roman" w:eastAsia="宋体" w:cs="Times New Roman"/>
    </w:rPr>
  </w:style>
  <w:style w:type="paragraph" w:customStyle="1" w:styleId="9">
    <w:name w:val="文章"/>
    <w:basedOn w:val="10"/>
    <w:next w:val="13"/>
    <w:qFormat/>
    <w:uiPriority w:val="0"/>
    <w:pPr>
      <w:widowControl/>
      <w:spacing w:line="240" w:lineRule="auto"/>
      <w:ind w:firstLine="480"/>
      <w:jc w:val="center"/>
    </w:pPr>
    <w:rPr>
      <w:rFonts w:ascii="Times New Roman" w:hAnsi="Times New Roman" w:eastAsia="宋体" w:cs="Times New Roman"/>
      <w:sz w:val="26"/>
    </w:rPr>
  </w:style>
  <w:style w:type="paragraph" w:styleId="10">
    <w:name w:val="Body Text Indent"/>
    <w:basedOn w:val="1"/>
    <w:next w:val="11"/>
    <w:qFormat/>
    <w:uiPriority w:val="0"/>
    <w:pPr>
      <w:ind w:left="720"/>
    </w:pPr>
    <w:rPr>
      <w:sz w:val="28"/>
    </w:rPr>
  </w:style>
  <w:style w:type="paragraph" w:customStyle="1" w:styleId="11">
    <w:name w:val="样式 标题 1一级标题 + 段前: 0.5 行 段后: 0.5 行"/>
    <w:basedOn w:val="12"/>
    <w:qFormat/>
    <w:uiPriority w:val="99"/>
    <w:pPr>
      <w:spacing w:line="320" w:lineRule="exact"/>
      <w:outlineLvl w:val="9"/>
    </w:pPr>
    <w:rPr>
      <w:spacing w:val="-6"/>
      <w:sz w:val="21"/>
      <w:szCs w:val="21"/>
    </w:rPr>
  </w:style>
  <w:style w:type="paragraph" w:styleId="13">
    <w:name w:val="List"/>
    <w:basedOn w:val="1"/>
    <w:next w:val="14"/>
    <w:unhideWhenUsed/>
    <w:qFormat/>
    <w:uiPriority w:val="0"/>
    <w:pPr>
      <w:jc w:val="center"/>
    </w:pPr>
    <w:rPr>
      <w:sz w:val="24"/>
      <w:szCs w:val="28"/>
    </w:rPr>
  </w:style>
  <w:style w:type="paragraph" w:styleId="14">
    <w:name w:val="List Bullet 2"/>
    <w:basedOn w:val="1"/>
    <w:next w:val="15"/>
    <w:semiHidden/>
    <w:unhideWhenUsed/>
    <w:qFormat/>
    <w:uiPriority w:val="99"/>
    <w:pPr>
      <w:numPr>
        <w:ilvl w:val="0"/>
        <w:numId w:val="1"/>
      </w:numPr>
    </w:pPr>
  </w:style>
  <w:style w:type="paragraph" w:customStyle="1" w:styleId="15">
    <w:name w:val="xl70"/>
    <w:basedOn w:val="1"/>
    <w:next w:val="16"/>
    <w:qFormat/>
    <w:uiPriority w:val="0"/>
    <w:pPr>
      <w:widowControl/>
      <w:spacing w:before="280" w:after="280" w:line="240" w:lineRule="auto"/>
      <w:ind w:firstLine="0"/>
    </w:pPr>
    <w:rPr>
      <w:rFonts w:ascii="宋体" w:hAnsi="Times New Roman" w:eastAsia="宋体" w:cs="Times New Roman"/>
    </w:rPr>
  </w:style>
  <w:style w:type="paragraph" w:customStyle="1" w:styleId="16">
    <w:name w:val="正文缩进1"/>
    <w:basedOn w:val="1"/>
    <w:next w:val="17"/>
    <w:qFormat/>
    <w:uiPriority w:val="0"/>
    <w:pPr>
      <w:ind w:firstLine="42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17">
    <w:name w:val="td1"/>
    <w:basedOn w:val="1"/>
    <w:next w:val="1"/>
    <w:qFormat/>
    <w:uiPriority w:val="0"/>
    <w:pPr>
      <w:widowControl/>
      <w:spacing w:before="280" w:after="280" w:line="300" w:lineRule="atLeast"/>
      <w:ind w:firstLine="200"/>
    </w:pPr>
    <w:rPr>
      <w:rFonts w:ascii="Times New Roman" w:hAnsi="Times New Roman" w:eastAsia="宋体" w:cs="Times New Roman"/>
      <w:color w:val="000000"/>
      <w:sz w:val="18"/>
    </w:rPr>
  </w:style>
  <w:style w:type="paragraph" w:styleId="18">
    <w:name w:val="Normal Indent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 w:firstLine="420"/>
      <w:jc w:val="left"/>
    </w:pPr>
    <w:rPr>
      <w:rFonts w:hint="default" w:ascii="Calibri" w:hAnsi="Calibri" w:eastAsia="宋体" w:cs="Times New Roman"/>
      <w:kern w:val="0"/>
      <w:sz w:val="21"/>
      <w:szCs w:val="22"/>
      <w:lang w:val="en-US" w:eastAsia="zh-CN" w:bidi="ar"/>
    </w:rPr>
  </w:style>
  <w:style w:type="paragraph" w:styleId="19">
    <w:name w:val="annotation text"/>
    <w:basedOn w:val="1"/>
    <w:qFormat/>
    <w:uiPriority w:val="0"/>
    <w:pPr>
      <w:jc w:val="left"/>
    </w:pPr>
  </w:style>
  <w:style w:type="paragraph" w:styleId="20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2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22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23">
    <w:name w:val="Body Text First Indent"/>
    <w:basedOn w:val="20"/>
    <w:next w:val="1"/>
    <w:qFormat/>
    <w:uiPriority w:val="0"/>
    <w:pPr>
      <w:spacing w:after="120" w:line="240" w:lineRule="auto"/>
      <w:ind w:firstLine="420" w:firstLineChars="100"/>
    </w:pPr>
    <w:rPr>
      <w:rFonts w:eastAsia="仿宋_GB2312"/>
      <w:sz w:val="32"/>
    </w:rPr>
  </w:style>
  <w:style w:type="paragraph" w:styleId="24">
    <w:name w:val="Body Text First Indent 2"/>
    <w:basedOn w:val="10"/>
    <w:qFormat/>
    <w:uiPriority w:val="0"/>
    <w:pPr>
      <w:ind w:firstLine="420" w:firstLineChars="200"/>
    </w:pPr>
  </w:style>
  <w:style w:type="table" w:styleId="26">
    <w:name w:val="Table Grid"/>
    <w:basedOn w:val="2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8">
    <w:name w:val="纯文本1"/>
    <w:basedOn w:val="1"/>
    <w:qFormat/>
    <w:uiPriority w:val="0"/>
    <w:pPr>
      <w:adjustRightInd w:val="0"/>
    </w:pPr>
    <w:rPr>
      <w:rFonts w:ascii="宋体" w:hAnsi="Courier New"/>
      <w:szCs w:val="20"/>
    </w:rPr>
  </w:style>
  <w:style w:type="paragraph" w:customStyle="1" w:styleId="29">
    <w:name w:val="样式26"/>
    <w:basedOn w:val="30"/>
    <w:qFormat/>
    <w:uiPriority w:val="0"/>
    <w:pPr>
      <w:tabs>
        <w:tab w:val="left" w:pos="0"/>
        <w:tab w:val="left" w:pos="360"/>
        <w:tab w:val="left" w:pos="540"/>
        <w:tab w:val="left" w:pos="567"/>
      </w:tabs>
    </w:pPr>
  </w:style>
  <w:style w:type="paragraph" w:customStyle="1" w:styleId="30">
    <w:name w:val="样式21"/>
    <w:basedOn w:val="31"/>
    <w:qFormat/>
    <w:uiPriority w:val="0"/>
    <w:pPr>
      <w:tabs>
        <w:tab w:val="left" w:pos="360"/>
        <w:tab w:val="left" w:pos="567"/>
      </w:tabs>
      <w:spacing w:before="120" w:beforeLines="0" w:after="120" w:afterLines="0"/>
      <w:ind w:hanging="992"/>
    </w:pPr>
    <w:rPr>
      <w:kern w:val="0"/>
    </w:rPr>
  </w:style>
  <w:style w:type="paragraph" w:customStyle="1" w:styleId="31">
    <w:name w:val="样式5"/>
    <w:basedOn w:val="32"/>
    <w:qFormat/>
    <w:uiPriority w:val="0"/>
    <w:pPr>
      <w:tabs>
        <w:tab w:val="left" w:pos="360"/>
        <w:tab w:val="left" w:pos="567"/>
      </w:tabs>
      <w:ind w:hanging="567" w:firstLineChars="0"/>
    </w:pPr>
    <w:rPr>
      <w:rFonts w:cs="Times New Roman"/>
    </w:rPr>
  </w:style>
  <w:style w:type="paragraph" w:customStyle="1" w:styleId="32">
    <w:name w:val="样式12"/>
    <w:basedOn w:val="1"/>
    <w:qFormat/>
    <w:uiPriority w:val="0"/>
    <w:pPr>
      <w:keepNext/>
      <w:keepLines/>
      <w:tabs>
        <w:tab w:val="left" w:pos="360"/>
      </w:tabs>
      <w:adjustRightInd w:val="0"/>
      <w:snapToGrid w:val="0"/>
      <w:spacing w:before="156" w:beforeLines="50" w:after="156" w:afterLines="50" w:line="360" w:lineRule="auto"/>
      <w:ind w:left="567" w:hanging="992" w:firstLineChars="200"/>
      <w:outlineLvl w:val="1"/>
    </w:pPr>
    <w:rPr>
      <w:rFonts w:eastAsia="黑体"/>
      <w:sz w:val="28"/>
      <w:szCs w:val="28"/>
    </w:rPr>
  </w:style>
  <w:style w:type="paragraph" w:customStyle="1" w:styleId="33">
    <w:name w:val="样式 方正小标宋简体 小二 居中 行距: 固定值 22 磅"/>
    <w:basedOn w:val="1"/>
    <w:qFormat/>
    <w:uiPriority w:val="0"/>
    <w:pPr>
      <w:jc w:val="center"/>
    </w:pPr>
    <w:rPr>
      <w:rFonts w:ascii="方正小标宋简体" w:eastAsia="方正小标宋简体" w:cs="宋体"/>
      <w:sz w:val="36"/>
      <w:szCs w:val="20"/>
    </w:rPr>
  </w:style>
  <w:style w:type="paragraph" w:customStyle="1" w:styleId="34">
    <w:name w:val="报告表正文"/>
    <w:basedOn w:val="1"/>
    <w:qFormat/>
    <w:uiPriority w:val="0"/>
    <w:pPr>
      <w:widowControl/>
      <w:spacing w:line="360" w:lineRule="auto"/>
      <w:ind w:firstLine="200" w:firstLineChars="200"/>
    </w:pPr>
    <w:rPr>
      <w:color w:val="FF00FF"/>
      <w:sz w:val="24"/>
      <w:szCs w:val="24"/>
    </w:rPr>
  </w:style>
  <w:style w:type="paragraph" w:customStyle="1" w:styleId="35">
    <w:name w:val="zxx表格"/>
    <w:basedOn w:val="1"/>
    <w:qFormat/>
    <w:uiPriority w:val="0"/>
    <w:pPr>
      <w:spacing w:line="240" w:lineRule="auto"/>
      <w:jc w:val="center"/>
    </w:pPr>
    <w:rPr>
      <w:rFonts w:ascii="Times New Roman" w:hAnsi="Times New Roman"/>
    </w:rPr>
  </w:style>
  <w:style w:type="paragraph" w:customStyle="1" w:styleId="36">
    <w:name w:val="表内"/>
    <w:qFormat/>
    <w:uiPriority w:val="0"/>
    <w:pPr>
      <w:adjustRightInd w:val="0"/>
      <w:snapToGrid w:val="0"/>
      <w:ind w:left="-105" w:leftChars="-50" w:rightChars="-50"/>
      <w:jc w:val="center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37">
    <w:name w:val="No Spacing"/>
    <w:qFormat/>
    <w:uiPriority w:val="0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customStyle="1" w:styleId="38">
    <w:name w:val="表格文字"/>
    <w:basedOn w:val="23"/>
    <w:next w:val="1"/>
    <w:qFormat/>
    <w:uiPriority w:val="0"/>
    <w:pPr>
      <w:spacing w:after="0" w:line="320" w:lineRule="exact"/>
      <w:jc w:val="center"/>
    </w:pPr>
    <w:rPr>
      <w:rFonts w:ascii="宋体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1583</Words>
  <Characters>1694</Characters>
  <Lines>4</Lines>
  <Paragraphs>1</Paragraphs>
  <TotalTime>7</TotalTime>
  <ScaleCrop>false</ScaleCrop>
  <LinksUpToDate>false</LinksUpToDate>
  <CharactersWithSpaces>1721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2019-07-04T02:06:00Z</dcterms:created>
  <dc:creator>332394983@qq.com</dc:creator>
  <cp:lastModifiedBy>sghnc</cp:lastModifiedBy>
  <cp:lastPrinted>2022-05-25T07:29:00Z</cp:lastPrinted>
  <dcterms:modified xsi:type="dcterms:W3CDTF">2022-06-10T08:46:37Z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B9C98529D76248FDB7C85742E71A0680</vt:lpwstr>
  </property>
</Properties>
</file>