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    </w:t>
      </w:r>
    </w:p>
    <w:p>
      <w:pPr>
        <w:pStyle w:val="25"/>
      </w:pPr>
    </w:p>
    <w:p>
      <w:pPr>
        <w:ind w:firstLine="5440" w:firstLineChars="17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湛环建霞〔202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spacing w:line="64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关于湛江市港区人民医院新建医疗综合楼及配套工程项目（感染楼）环境影响报告表的批复</w:t>
      </w:r>
    </w:p>
    <w:bookmarkEnd w:id="0"/>
    <w:p>
      <w:pPr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湛江市港区人民医院：</w:t>
      </w:r>
    </w:p>
    <w:p>
      <w:pPr>
        <w:pStyle w:val="3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你单位报批的《湛江市港区人民医院新建医疗综合楼及配套工程项目（感染楼）环境影响报告表》（以下简称“报告表”）等材料收悉。经研究，批复如下：</w:t>
      </w:r>
    </w:p>
    <w:p>
      <w:pPr>
        <w:pStyle w:val="12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港区人民医院拟于湛江市霞山区友谊路11号改扩建一栋医疗综合楼及配套工程（项目代码2104-440803-04-01-199582），项目中心地理坐标为北纬21度11分0.36秒，东经110度23分54.21秒。项目主要建设内容为1栋感染楼（包括地上9层和3层地下车库，具体建设内容详见表1），占地面积1575.361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，建筑面积18904.33m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改扩建前项目设有212张床位，拆除肺科住院楼减少73张床位，改扩建后感染楼新增床位88张，改扩建后院区设有床位227张。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项目改扩建后医院总员工361人（本次改扩建增加113人），全年工作365天，三班制，每班8小时，员工均在院内食宿。项目总投资18193.28万元，环保投资196万元，环保投资占比1.08%。</w:t>
      </w:r>
    </w:p>
    <w:tbl>
      <w:tblPr>
        <w:tblStyle w:val="23"/>
        <w:tblW w:w="7921" w:type="dxa"/>
        <w:jc w:val="center"/>
        <w:tblBorders>
          <w:top w:val="single" w:color="333333" w:sz="12" w:space="0"/>
          <w:left w:val="none" w:color="auto" w:sz="0" w:space="0"/>
          <w:bottom w:val="single" w:color="333333" w:sz="12" w:space="0"/>
          <w:right w:val="none" w:color="auto" w:sz="0" w:space="0"/>
          <w:insideH w:val="single" w:color="333333" w:sz="4" w:space="0"/>
          <w:insideV w:val="single" w:color="333333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2473"/>
        <w:gridCol w:w="4372"/>
      </w:tblGrid>
      <w:tr>
        <w:tblPrEx>
          <w:tblBorders>
            <w:top w:val="single" w:color="333333" w:sz="12" w:space="0"/>
            <w:left w:val="none" w:color="auto" w:sz="0" w:space="0"/>
            <w:bottom w:val="single" w:color="333333" w:sz="12" w:space="0"/>
            <w:right w:val="none" w:color="auto" w:sz="0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right="0" w:rightChars="0"/>
              <w:jc w:val="center"/>
              <w:textAlignment w:val="auto"/>
              <w:rPr>
                <w:rFonts w:hint="default" w:eastAsiaTheme="minorEastAsia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项目名称</w:t>
            </w:r>
          </w:p>
        </w:tc>
        <w:tc>
          <w:tcPr>
            <w:tcW w:w="15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right="0" w:rightChars="0"/>
              <w:jc w:val="center"/>
              <w:textAlignment w:val="auto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规模</w:t>
            </w:r>
          </w:p>
        </w:tc>
        <w:tc>
          <w:tcPr>
            <w:tcW w:w="275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right="0" w:rightChars="0"/>
              <w:jc w:val="center"/>
              <w:textAlignment w:val="auto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内容</w:t>
            </w:r>
          </w:p>
        </w:tc>
      </w:tr>
      <w:tr>
        <w:tblPrEx>
          <w:tblBorders>
            <w:top w:val="single" w:color="333333" w:sz="12" w:space="0"/>
            <w:left w:val="none" w:color="auto" w:sz="0" w:space="0"/>
            <w:bottom w:val="single" w:color="333333" w:sz="12" w:space="0"/>
            <w:right w:val="none" w:color="auto" w:sz="0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  <w:jc w:val="center"/>
        </w:trPr>
        <w:tc>
          <w:tcPr>
            <w:tcW w:w="6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pStyle w:val="3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right="0" w:rightChars="0"/>
              <w:textAlignment w:val="auto"/>
            </w:pPr>
            <w:r>
              <w:t>感染楼</w:t>
            </w:r>
          </w:p>
        </w:tc>
        <w:tc>
          <w:tcPr>
            <w:tcW w:w="15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right="0" w:rightChars="0"/>
              <w:jc w:val="center"/>
              <w:textAlignment w:val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1栋，9层，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right="0" w:rightChars="0"/>
              <w:jc w:val="center"/>
              <w:textAlignment w:val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占地面积1575.361m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color w:val="000000"/>
                <w:szCs w:val="21"/>
              </w:rPr>
              <w:t>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right="0" w:rightChars="0"/>
              <w:jc w:val="center"/>
              <w:textAlignment w:val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建筑面积18904.33m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275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right="0" w:rightChars="0"/>
              <w:textAlignment w:val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-1F~-3F：地下车库</w:t>
            </w:r>
          </w:p>
          <w:p>
            <w:pPr>
              <w:pStyle w:val="1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right="0" w:rightChars="0"/>
              <w:textAlignment w:val="auto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1F：预检分诊、护士台、治疗、更衣室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right="0" w:rightChars="0"/>
              <w:textAlignment w:val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2F：一次就诊、西药房、更衣室</w:t>
            </w:r>
          </w:p>
          <w:p>
            <w:pPr>
              <w:pStyle w:val="1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right="0" w:rightChars="0"/>
              <w:textAlignment w:val="auto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3F：候检厅、B超、更衣室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right="0" w:rightChars="0"/>
              <w:textAlignment w:val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4F：UPS、候检厅、标本暂存区、库房、更衣室</w:t>
            </w:r>
          </w:p>
          <w:p>
            <w:pPr>
              <w:pStyle w:val="1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right="0" w:rightChars="0"/>
              <w:textAlignment w:val="auto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5F：UPS、换床区、护士站、库房、更衣室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right="0" w:rightChars="0"/>
              <w:textAlignment w:val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6F：病患通道、抢救室、信息化机房、更衣室</w:t>
            </w:r>
          </w:p>
          <w:p>
            <w:pPr>
              <w:pStyle w:val="1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right="0" w:rightChars="0"/>
              <w:textAlignment w:val="auto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7F：病患通道、抢救室、器械室、更衣室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right="0" w:rightChars="0"/>
              <w:textAlignment w:val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8F：病患通道、抢救室、器械室、更衣室</w:t>
            </w:r>
          </w:p>
          <w:p>
            <w:pPr>
              <w:pStyle w:val="1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right="0" w:rightChars="0"/>
              <w:textAlignment w:val="auto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9F：病患通道、抢救室、器械室、更衣室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ind w:left="0" w:leftChars="0" w:right="0" w:rightChars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表1  感染楼建设内容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根据报告表的评价结论，在全面落实报告表中提出的各项污染防治和风险防范措施，并确保污染物排放稳定达标且符合总量要求的前提下，项目按照报告表中所列性质、规模、地点和拟采取的环境保护措施进行建设，从环境保护角度可行。我局原则通过对报告表的审查，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应按照报告表内容组织实施。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566" w:firstLineChars="177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三、项目建设和运营中还应重点做好以下工作：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566" w:firstLineChars="177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该项目须加强环保管理和“三废”防治设施维护，严格按照环评的要求做好各项污染防治措施，确保项目固废及危废得到有效处置、生产废水达标排放、项目大气污染物及生产噪声得到有效防治和持续稳定达标排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left="0" w:leftChars="0"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该项目须加强危险废物的管理。1.严格按照《危险废物贮存污染控制标准》（GB18597-2001及其2013年修改单）中的相关规定设计建设危险废物暂存间，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满足</w:t>
      </w:r>
      <w:r>
        <w:rPr>
          <w:rFonts w:hint="eastAsia" w:ascii="仿宋_GB2312" w:hAnsi="仿宋_GB2312" w:eastAsia="仿宋_GB2312" w:cs="仿宋_GB2312"/>
          <w:sz w:val="32"/>
          <w:szCs w:val="32"/>
        </w:rPr>
        <w:t>防雨、防渗、防风、防晒、防漏等要求，并设置截留沟；2.危险废物须交由有资质的单位进行安全处置；3.建立危险废物管理台账，存档备查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4.污水处理设施污泥执行《医疗机构水污染物排放标准》（GB18466-2005）表4医疗机构污泥控制标准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2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）该项目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废水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经污水处理设施处理后执行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《医疗机构水污染物排放标准》（GB18466-2005）表2预处理标准、广东省地方标准《水污染物排放限值》（DB44/26-2001）第二时段三级标准和霞山水质净化厂进水水质标准的较严值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后排入霞山水质净化厂；污水处理站废气执行《医疗机构水污染物排放标准》（GB18466-2005）表3废气排放标准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食堂油烟执行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《饮食业油烟排放标准》（试行）（GB18483-2001）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西北边及西南边靠近道路一侧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厂界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执行《工业企业厂界环境噪声排放标准》（GB12348-2008）中4a类标准（昼间≤70dB（A）、夜间≤55dB（A））；其他厂界执行《工业企业厂界环境噪声排放标准》（GB12348-2008）中2类标准（昼间≤60dB（A）、夜间≤50dB（A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textAlignment w:val="auto"/>
        <w:rPr>
          <w:rFonts w:hint="default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该项目建设必须严格执行配套环境保护设施与主体工程同时设计、同时施工、同时投产使用的环境保护“三同时”制度。项目竣工后，建设单位须按规定程序自主开展建设项目竣工环境保护验收，验收合格后方可正式投入生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566" w:firstLineChars="177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四、若项目的性质、规模、地点、工艺或者防治污染的措施发生重大变动，应重新报批项目的环境影响评价文件。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566" w:firstLineChars="177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五、本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次环评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及批复不包含放射及电磁辐射相关内容。</w:t>
      </w:r>
    </w:p>
    <w:p>
      <w:pPr>
        <w:pStyle w:val="20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right="629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湛江市生态环境局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left="4469" w:leftChars="2128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pStyle w:val="32"/>
        <w:rPr>
          <w:rFonts w:hint="eastAsia" w:ascii="仿宋_GB2312" w:eastAsia="仿宋_GB2312"/>
        </w:rPr>
      </w:pPr>
    </w:p>
    <w:p>
      <w:pPr>
        <w:pStyle w:val="20"/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pStyle w:val="27"/>
        <w:rPr>
          <w:rFonts w:hint="eastAsia" w:ascii="仿宋_GB2312" w:eastAsia="仿宋_GB2312"/>
        </w:rPr>
      </w:pPr>
    </w:p>
    <w:p>
      <w:pPr>
        <w:pStyle w:val="32"/>
        <w:rPr>
          <w:rFonts w:hint="eastAsia" w:ascii="仿宋_GB2312" w:eastAsia="仿宋_GB2312"/>
        </w:rPr>
      </w:pPr>
    </w:p>
    <w:p>
      <w:pPr>
        <w:pStyle w:val="20"/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pStyle w:val="25"/>
        <w:rPr>
          <w:rFonts w:hint="eastAsia" w:ascii="仿宋_GB2312" w:eastAsia="仿宋_GB2312"/>
        </w:rPr>
      </w:pPr>
    </w:p>
    <w:sectPr>
      <w:footerReference r:id="rId3" w:type="default"/>
      <w:pgSz w:w="11906" w:h="16838"/>
      <w:pgMar w:top="2098" w:right="1474" w:bottom="1985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32260621"/>
      <w:docPartObj>
        <w:docPartGallery w:val="autotext"/>
      </w:docPartObj>
    </w:sdtPr>
    <w:sdtContent>
      <w:p>
        <w:pPr>
          <w:pStyle w:val="1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07C881"/>
    <w:multiLevelType w:val="singleLevel"/>
    <w:tmpl w:val="0A07C88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78A8C4C"/>
    <w:multiLevelType w:val="singleLevel"/>
    <w:tmpl w:val="378A8C4C"/>
    <w:lvl w:ilvl="0" w:tentative="0">
      <w:start w:val="1"/>
      <w:numFmt w:val="bullet"/>
      <w:pStyle w:val="8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2">
    <w:nsid w:val="59640B88"/>
    <w:multiLevelType w:val="multilevel"/>
    <w:tmpl w:val="59640B88"/>
    <w:lvl w:ilvl="0" w:tentative="0">
      <w:start w:val="1"/>
      <w:numFmt w:val="chineseCountingThousand"/>
      <w:pStyle w:val="4"/>
      <w:lvlText w:val="第%1章"/>
      <w:lvlJc w:val="center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WE2YjU2NWMzMDFlZDI0M2JjZTQ5NjZmNGEzNDQifQ=="/>
  </w:docVars>
  <w:rsids>
    <w:rsidRoot w:val="00884396"/>
    <w:rsid w:val="00027836"/>
    <w:rsid w:val="0005552C"/>
    <w:rsid w:val="000776CE"/>
    <w:rsid w:val="00087F68"/>
    <w:rsid w:val="000966EF"/>
    <w:rsid w:val="000A48C7"/>
    <w:rsid w:val="000A5597"/>
    <w:rsid w:val="000E4DB6"/>
    <w:rsid w:val="000F2D8C"/>
    <w:rsid w:val="000F3A7F"/>
    <w:rsid w:val="0014250C"/>
    <w:rsid w:val="001845A2"/>
    <w:rsid w:val="001D46CC"/>
    <w:rsid w:val="001E0451"/>
    <w:rsid w:val="001E4738"/>
    <w:rsid w:val="001F3031"/>
    <w:rsid w:val="001F3382"/>
    <w:rsid w:val="002036C0"/>
    <w:rsid w:val="00207D42"/>
    <w:rsid w:val="0022269B"/>
    <w:rsid w:val="00222930"/>
    <w:rsid w:val="00227B17"/>
    <w:rsid w:val="00230E19"/>
    <w:rsid w:val="0027161D"/>
    <w:rsid w:val="0027790E"/>
    <w:rsid w:val="002907E2"/>
    <w:rsid w:val="002E3644"/>
    <w:rsid w:val="00310C9E"/>
    <w:rsid w:val="0035369A"/>
    <w:rsid w:val="00375ADF"/>
    <w:rsid w:val="003955C8"/>
    <w:rsid w:val="00395763"/>
    <w:rsid w:val="003B68A5"/>
    <w:rsid w:val="003C6AB9"/>
    <w:rsid w:val="00401210"/>
    <w:rsid w:val="00422F2D"/>
    <w:rsid w:val="0044065F"/>
    <w:rsid w:val="00466937"/>
    <w:rsid w:val="00483025"/>
    <w:rsid w:val="004A75A5"/>
    <w:rsid w:val="004B4F18"/>
    <w:rsid w:val="004C5BAF"/>
    <w:rsid w:val="005279A0"/>
    <w:rsid w:val="00543BD7"/>
    <w:rsid w:val="005D36FB"/>
    <w:rsid w:val="006202A2"/>
    <w:rsid w:val="00634111"/>
    <w:rsid w:val="00691651"/>
    <w:rsid w:val="00693DCE"/>
    <w:rsid w:val="006C4084"/>
    <w:rsid w:val="006E225C"/>
    <w:rsid w:val="006F5D6F"/>
    <w:rsid w:val="00765FD2"/>
    <w:rsid w:val="00773639"/>
    <w:rsid w:val="00793BD3"/>
    <w:rsid w:val="007C06DA"/>
    <w:rsid w:val="007F2985"/>
    <w:rsid w:val="007F2AE6"/>
    <w:rsid w:val="007F434C"/>
    <w:rsid w:val="007F4C97"/>
    <w:rsid w:val="00823816"/>
    <w:rsid w:val="00884396"/>
    <w:rsid w:val="00891538"/>
    <w:rsid w:val="008D2798"/>
    <w:rsid w:val="008E341F"/>
    <w:rsid w:val="008F4F9F"/>
    <w:rsid w:val="00903D3B"/>
    <w:rsid w:val="00911EE8"/>
    <w:rsid w:val="0096014C"/>
    <w:rsid w:val="009678FC"/>
    <w:rsid w:val="009A1F09"/>
    <w:rsid w:val="009E5FFD"/>
    <w:rsid w:val="00A11B48"/>
    <w:rsid w:val="00A432A3"/>
    <w:rsid w:val="00A87A6E"/>
    <w:rsid w:val="00AF71D3"/>
    <w:rsid w:val="00B42EC8"/>
    <w:rsid w:val="00B46F85"/>
    <w:rsid w:val="00BB5CCA"/>
    <w:rsid w:val="00BB5ECF"/>
    <w:rsid w:val="00BC0A3C"/>
    <w:rsid w:val="00BE55BA"/>
    <w:rsid w:val="00C00CBA"/>
    <w:rsid w:val="00C5060A"/>
    <w:rsid w:val="00C91FCE"/>
    <w:rsid w:val="00CA18AB"/>
    <w:rsid w:val="00CD7503"/>
    <w:rsid w:val="00CF762D"/>
    <w:rsid w:val="00D85488"/>
    <w:rsid w:val="00DA436D"/>
    <w:rsid w:val="00DB2F5A"/>
    <w:rsid w:val="00DD5936"/>
    <w:rsid w:val="00DF0E2E"/>
    <w:rsid w:val="00E1237E"/>
    <w:rsid w:val="00E133CB"/>
    <w:rsid w:val="00E34C7F"/>
    <w:rsid w:val="00E41F1D"/>
    <w:rsid w:val="00E609CC"/>
    <w:rsid w:val="00E64860"/>
    <w:rsid w:val="00EE15E9"/>
    <w:rsid w:val="00EE5BFF"/>
    <w:rsid w:val="00F018F6"/>
    <w:rsid w:val="00F359CD"/>
    <w:rsid w:val="00F551DF"/>
    <w:rsid w:val="00F76EC6"/>
    <w:rsid w:val="00F85EA1"/>
    <w:rsid w:val="00FB008A"/>
    <w:rsid w:val="029124CE"/>
    <w:rsid w:val="066778F2"/>
    <w:rsid w:val="0ADA61CB"/>
    <w:rsid w:val="12841573"/>
    <w:rsid w:val="160112A0"/>
    <w:rsid w:val="249E68AF"/>
    <w:rsid w:val="29612807"/>
    <w:rsid w:val="309D1A2E"/>
    <w:rsid w:val="3FAD3953"/>
    <w:rsid w:val="476374E2"/>
    <w:rsid w:val="53B524A6"/>
    <w:rsid w:val="61A47021"/>
    <w:rsid w:val="739E0BBC"/>
    <w:rsid w:val="758E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qFormat="1" w:unhideWhenUsed="0" w:uiPriority="0" w:semiHidden="0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numPr>
        <w:ilvl w:val="0"/>
        <w:numId w:val="1"/>
      </w:numPr>
      <w:ind w:left="0" w:firstLine="0"/>
      <w:jc w:val="center"/>
      <w:textAlignment w:val="center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0" w:lineRule="atLeast"/>
    </w:pPr>
    <w:rPr>
      <w:rFonts w:eastAsia="小标宋"/>
      <w:sz w:val="44"/>
    </w:rPr>
  </w:style>
  <w:style w:type="paragraph" w:customStyle="1" w:styleId="3">
    <w:name w:val="xl27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eastAsia="Arial Unicode MS"/>
      <w:kern w:val="0"/>
      <w:szCs w:val="21"/>
    </w:rPr>
  </w:style>
  <w:style w:type="paragraph" w:styleId="5">
    <w:name w:val="E-mail Signature"/>
    <w:basedOn w:val="1"/>
    <w:next w:val="6"/>
    <w:qFormat/>
    <w:uiPriority w:val="0"/>
    <w:pPr>
      <w:spacing w:line="460" w:lineRule="exact"/>
      <w:ind w:firstLine="200"/>
    </w:pPr>
    <w:rPr>
      <w:sz w:val="24"/>
    </w:rPr>
  </w:style>
  <w:style w:type="paragraph" w:customStyle="1" w:styleId="6">
    <w:name w:val="文章"/>
    <w:basedOn w:val="1"/>
    <w:next w:val="7"/>
    <w:qFormat/>
    <w:uiPriority w:val="0"/>
    <w:pPr>
      <w:widowControl/>
      <w:ind w:firstLine="480"/>
      <w:jc w:val="center"/>
    </w:pPr>
    <w:rPr>
      <w:sz w:val="26"/>
    </w:rPr>
  </w:style>
  <w:style w:type="paragraph" w:styleId="7">
    <w:name w:val="List"/>
    <w:basedOn w:val="1"/>
    <w:next w:val="8"/>
    <w:qFormat/>
    <w:uiPriority w:val="0"/>
    <w:pPr>
      <w:ind w:left="200" w:hanging="200" w:hangingChars="200"/>
    </w:pPr>
    <w:rPr>
      <w:rFonts w:ascii="Times New Roman" w:hAnsi="Times New Roman" w:eastAsia="宋体" w:cs="Times New Roman"/>
      <w:szCs w:val="24"/>
    </w:rPr>
  </w:style>
  <w:style w:type="paragraph" w:styleId="8">
    <w:name w:val="List Bullet 2"/>
    <w:basedOn w:val="1"/>
    <w:next w:val="9"/>
    <w:semiHidden/>
    <w:unhideWhenUsed/>
    <w:qFormat/>
    <w:uiPriority w:val="99"/>
    <w:pPr>
      <w:numPr>
        <w:ilvl w:val="0"/>
        <w:numId w:val="2"/>
      </w:numPr>
    </w:pPr>
  </w:style>
  <w:style w:type="paragraph" w:customStyle="1" w:styleId="9">
    <w:name w:val="xl70"/>
    <w:basedOn w:val="1"/>
    <w:next w:val="10"/>
    <w:qFormat/>
    <w:uiPriority w:val="0"/>
    <w:pPr>
      <w:widowControl/>
      <w:tabs>
        <w:tab w:val="left" w:pos="480"/>
      </w:tabs>
      <w:spacing w:before="280" w:after="280"/>
    </w:pPr>
    <w:rPr>
      <w:rFonts w:ascii="宋体"/>
    </w:rPr>
  </w:style>
  <w:style w:type="paragraph" w:customStyle="1" w:styleId="10">
    <w:name w:val="正文缩进1"/>
    <w:basedOn w:val="1"/>
    <w:next w:val="11"/>
    <w:qFormat/>
    <w:uiPriority w:val="0"/>
    <w:pPr>
      <w:tabs>
        <w:tab w:val="left" w:pos="480"/>
      </w:tabs>
      <w:ind w:firstLine="420"/>
    </w:pPr>
    <w:rPr>
      <w:szCs w:val="20"/>
    </w:rPr>
  </w:style>
  <w:style w:type="paragraph" w:customStyle="1" w:styleId="11">
    <w:name w:val="td1"/>
    <w:basedOn w:val="1"/>
    <w:next w:val="1"/>
    <w:qFormat/>
    <w:uiPriority w:val="0"/>
    <w:pPr>
      <w:widowControl/>
      <w:tabs>
        <w:tab w:val="left" w:pos="480"/>
      </w:tabs>
      <w:spacing w:before="280" w:after="280" w:line="300" w:lineRule="atLeast"/>
      <w:ind w:firstLine="200"/>
    </w:pPr>
    <w:rPr>
      <w:color w:val="000000"/>
      <w:sz w:val="18"/>
    </w:rPr>
  </w:style>
  <w:style w:type="paragraph" w:styleId="12">
    <w:name w:val="Normal Indent"/>
    <w:basedOn w:val="1"/>
    <w:next w:val="1"/>
    <w:qFormat/>
    <w:uiPriority w:val="0"/>
    <w:pPr>
      <w:tabs>
        <w:tab w:val="left" w:pos="480"/>
      </w:tabs>
      <w:ind w:firstLine="420" w:firstLineChars="200"/>
    </w:pPr>
  </w:style>
  <w:style w:type="paragraph" w:styleId="13">
    <w:name w:val="annotation text"/>
    <w:basedOn w:val="1"/>
    <w:semiHidden/>
    <w:qFormat/>
    <w:uiPriority w:val="0"/>
    <w:pPr>
      <w:jc w:val="left"/>
    </w:pPr>
    <w:rPr>
      <w:kern w:val="0"/>
      <w:sz w:val="24"/>
      <w:szCs w:val="20"/>
    </w:rPr>
  </w:style>
  <w:style w:type="paragraph" w:styleId="14">
    <w:name w:val="Body Text Indent"/>
    <w:basedOn w:val="1"/>
    <w:next w:val="15"/>
    <w:qFormat/>
    <w:uiPriority w:val="0"/>
    <w:pPr>
      <w:ind w:left="420" w:firstLine="600"/>
    </w:pPr>
    <w:rPr>
      <w:rFonts w:ascii="宋体" w:hAnsi="宋体"/>
      <w:sz w:val="30"/>
    </w:rPr>
  </w:style>
  <w:style w:type="paragraph" w:customStyle="1" w:styleId="15">
    <w:name w:val="样式 标题 1一级标题 + 段前: 0.5 行 段后: 0.5 行"/>
    <w:basedOn w:val="4"/>
    <w:qFormat/>
    <w:uiPriority w:val="99"/>
    <w:pPr>
      <w:spacing w:line="320" w:lineRule="exact"/>
      <w:outlineLvl w:val="9"/>
    </w:pPr>
    <w:rPr>
      <w:spacing w:val="-6"/>
      <w:sz w:val="21"/>
      <w:szCs w:val="21"/>
    </w:rPr>
  </w:style>
  <w:style w:type="paragraph" w:styleId="16">
    <w:name w:val="Plain Text"/>
    <w:basedOn w:val="1"/>
    <w:next w:val="1"/>
    <w:uiPriority w:val="0"/>
    <w:pPr>
      <w:spacing w:line="240" w:lineRule="auto"/>
    </w:pPr>
    <w:rPr>
      <w:rFonts w:ascii="宋体" w:hAnsi="Courier New"/>
      <w:sz w:val="21"/>
      <w:szCs w:val="20"/>
    </w:rPr>
  </w:style>
  <w:style w:type="paragraph" w:styleId="17">
    <w:name w:val="Date"/>
    <w:basedOn w:val="1"/>
    <w:next w:val="1"/>
    <w:link w:val="36"/>
    <w:semiHidden/>
    <w:unhideWhenUsed/>
    <w:qFormat/>
    <w:uiPriority w:val="99"/>
    <w:pPr>
      <w:ind w:left="100" w:leftChars="2500"/>
    </w:pPr>
  </w:style>
  <w:style w:type="paragraph" w:styleId="18">
    <w:name w:val="foot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link w:val="3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2"/>
    <w:basedOn w:val="1"/>
    <w:next w:val="5"/>
    <w:qFormat/>
    <w:uiPriority w:val="0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21">
    <w:name w:val="Body Text First Indent"/>
    <w:basedOn w:val="2"/>
    <w:qFormat/>
    <w:uiPriority w:val="0"/>
    <w:pPr>
      <w:adjustRightInd w:val="0"/>
      <w:snapToGrid w:val="0"/>
      <w:spacing w:line="336" w:lineRule="auto"/>
      <w:ind w:firstLine="480" w:firstLineChars="200"/>
    </w:pPr>
    <w:rPr>
      <w:rFonts w:ascii="宋体" w:hAnsi="宋体"/>
      <w:sz w:val="24"/>
    </w:rPr>
  </w:style>
  <w:style w:type="paragraph" w:styleId="22">
    <w:name w:val="Body Text First Indent 2"/>
    <w:basedOn w:val="14"/>
    <w:next w:val="21"/>
    <w:qFormat/>
    <w:uiPriority w:val="0"/>
    <w:pPr>
      <w:spacing w:after="120"/>
      <w:ind w:leftChars="200" w:firstLine="420" w:firstLineChars="200"/>
    </w:pPr>
    <w:rPr>
      <w:sz w:val="21"/>
    </w:rPr>
  </w:style>
  <w:style w:type="paragraph" w:customStyle="1" w:styleId="25">
    <w:name w:val="Default"/>
    <w:basedOn w:val="26"/>
    <w:next w:val="1"/>
    <w:qFormat/>
    <w:uiPriority w:val="0"/>
    <w:pPr>
      <w:autoSpaceDE w:val="0"/>
      <w:autoSpaceDN w:val="0"/>
    </w:pPr>
    <w:rPr>
      <w:rFonts w:cs="宋体"/>
      <w:color w:val="000000"/>
      <w:sz w:val="24"/>
      <w:szCs w:val="24"/>
    </w:rPr>
  </w:style>
  <w:style w:type="paragraph" w:customStyle="1" w:styleId="26">
    <w:name w:val="纯文本1"/>
    <w:basedOn w:val="1"/>
    <w:qFormat/>
    <w:uiPriority w:val="0"/>
    <w:pPr>
      <w:adjustRightInd w:val="0"/>
    </w:pPr>
    <w:rPr>
      <w:rFonts w:ascii="宋体" w:hAnsi="Courier New"/>
      <w:szCs w:val="20"/>
    </w:rPr>
  </w:style>
  <w:style w:type="paragraph" w:customStyle="1" w:styleId="27">
    <w:name w:val="样式35"/>
    <w:basedOn w:val="28"/>
    <w:next w:val="32"/>
    <w:qFormat/>
    <w:uiPriority w:val="0"/>
    <w:pPr>
      <w:tabs>
        <w:tab w:val="left" w:pos="0"/>
        <w:tab w:val="left" w:pos="360"/>
        <w:tab w:val="left" w:pos="540"/>
        <w:tab w:val="left" w:pos="567"/>
      </w:tabs>
      <w:spacing w:line="312" w:lineRule="auto"/>
      <w:ind w:firstLine="567"/>
    </w:pPr>
    <w:rPr>
      <w:rFonts w:ascii="宋体"/>
    </w:rPr>
  </w:style>
  <w:style w:type="paragraph" w:customStyle="1" w:styleId="28">
    <w:name w:val="样式26"/>
    <w:basedOn w:val="29"/>
    <w:qFormat/>
    <w:uiPriority w:val="0"/>
    <w:pPr>
      <w:tabs>
        <w:tab w:val="left" w:pos="0"/>
        <w:tab w:val="left" w:pos="360"/>
        <w:tab w:val="left" w:pos="540"/>
        <w:tab w:val="left" w:pos="567"/>
      </w:tabs>
    </w:pPr>
  </w:style>
  <w:style w:type="paragraph" w:customStyle="1" w:styleId="29">
    <w:name w:val="样式21"/>
    <w:basedOn w:val="30"/>
    <w:qFormat/>
    <w:uiPriority w:val="0"/>
    <w:pPr>
      <w:tabs>
        <w:tab w:val="left" w:pos="360"/>
        <w:tab w:val="left" w:pos="567"/>
      </w:tabs>
      <w:spacing w:before="120" w:beforeLines="0" w:after="120" w:afterLines="0"/>
      <w:ind w:hanging="992"/>
    </w:pPr>
    <w:rPr>
      <w:kern w:val="0"/>
    </w:rPr>
  </w:style>
  <w:style w:type="paragraph" w:customStyle="1" w:styleId="30">
    <w:name w:val="样式5"/>
    <w:basedOn w:val="31"/>
    <w:qFormat/>
    <w:uiPriority w:val="0"/>
    <w:pPr>
      <w:tabs>
        <w:tab w:val="left" w:pos="360"/>
        <w:tab w:val="left" w:pos="567"/>
      </w:tabs>
      <w:ind w:hanging="567" w:firstLineChars="0"/>
    </w:pPr>
    <w:rPr>
      <w:rFonts w:cs="Times New Roman"/>
    </w:rPr>
  </w:style>
  <w:style w:type="paragraph" w:customStyle="1" w:styleId="31">
    <w:name w:val="样式12"/>
    <w:basedOn w:val="1"/>
    <w:qFormat/>
    <w:uiPriority w:val="0"/>
    <w:pPr>
      <w:keepNext/>
      <w:keepLines/>
      <w:tabs>
        <w:tab w:val="left" w:pos="360"/>
      </w:tabs>
      <w:adjustRightInd w:val="0"/>
      <w:snapToGrid w:val="0"/>
      <w:spacing w:before="156" w:beforeLines="50" w:after="156" w:afterLines="50" w:line="360" w:lineRule="auto"/>
      <w:ind w:left="567" w:hanging="992" w:firstLineChars="200"/>
      <w:outlineLvl w:val="1"/>
    </w:pPr>
    <w:rPr>
      <w:rFonts w:eastAsia="黑体"/>
      <w:sz w:val="28"/>
      <w:szCs w:val="28"/>
    </w:rPr>
  </w:style>
  <w:style w:type="paragraph" w:customStyle="1" w:styleId="32">
    <w:name w:val="font6"/>
    <w:basedOn w:val="1"/>
    <w:next w:val="2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</w:rPr>
  </w:style>
  <w:style w:type="paragraph" w:styleId="33">
    <w:name w:val="List Paragraph"/>
    <w:basedOn w:val="1"/>
    <w:qFormat/>
    <w:uiPriority w:val="34"/>
    <w:pPr>
      <w:ind w:firstLine="420" w:firstLineChars="200"/>
    </w:pPr>
  </w:style>
  <w:style w:type="character" w:customStyle="1" w:styleId="34">
    <w:name w:val="页眉 字符"/>
    <w:basedOn w:val="24"/>
    <w:link w:val="19"/>
    <w:qFormat/>
    <w:uiPriority w:val="99"/>
    <w:rPr>
      <w:sz w:val="18"/>
      <w:szCs w:val="18"/>
    </w:rPr>
  </w:style>
  <w:style w:type="character" w:customStyle="1" w:styleId="35">
    <w:name w:val="页脚 字符"/>
    <w:basedOn w:val="24"/>
    <w:link w:val="18"/>
    <w:qFormat/>
    <w:uiPriority w:val="99"/>
    <w:rPr>
      <w:sz w:val="18"/>
      <w:szCs w:val="18"/>
    </w:rPr>
  </w:style>
  <w:style w:type="character" w:customStyle="1" w:styleId="36">
    <w:name w:val="日期 字符"/>
    <w:basedOn w:val="24"/>
    <w:link w:val="17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37">
    <w:name w:val="报告表正文"/>
    <w:basedOn w:val="2"/>
    <w:next w:val="1"/>
    <w:qFormat/>
    <w:uiPriority w:val="0"/>
    <w:pPr>
      <w:spacing w:before="0" w:beforeLines="0" w:line="360" w:lineRule="auto"/>
      <w:ind w:left="0" w:right="0" w:firstLine="720" w:firstLineChars="200"/>
    </w:pPr>
    <w:rPr>
      <w:rFonts w:ascii="Times New Roman" w:hAnsi="Times New Roman" w:eastAsia="宋体"/>
      <w:sz w:val="24"/>
      <w:szCs w:val="24"/>
    </w:rPr>
  </w:style>
  <w:style w:type="paragraph" w:customStyle="1" w:styleId="38">
    <w:name w:val="表格正文"/>
    <w:basedOn w:val="1"/>
    <w:next w:val="1"/>
    <w:qFormat/>
    <w:uiPriority w:val="0"/>
    <w:pPr>
      <w:snapToGrid w:val="0"/>
      <w:spacing w:line="240" w:lineRule="auto"/>
      <w:ind w:firstLine="0" w:firstLineChars="0"/>
      <w:jc w:val="center"/>
    </w:pPr>
    <w:rPr>
      <w:rFonts w:ascii="Times New Roman" w:hAnsi="Times New Roman" w:eastAsia="宋体"/>
      <w:color w:val="000000"/>
      <w:kern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999</Words>
  <Characters>1099</Characters>
  <Lines>9</Lines>
  <Paragraphs>2</Paragraphs>
  <TotalTime>2</TotalTime>
  <ScaleCrop>false</ScaleCrop>
  <LinksUpToDate>false</LinksUpToDate>
  <CharactersWithSpaces>1143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2019-07-15T03:54:00Z</dcterms:created>
  <dc:creator>332394983@qq.com</dc:creator>
  <cp:lastModifiedBy>sghnc</cp:lastModifiedBy>
  <cp:lastPrinted>2022-05-31T09:00:17Z</cp:lastPrinted>
  <dcterms:modified xsi:type="dcterms:W3CDTF">2022-05-31T09:06:41Z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KSOSaveFontToCloudKey">
    <vt:lpwstr>313964401_btnclosed</vt:lpwstr>
  </property>
  <property fmtid="{D5CDD505-2E9C-101B-9397-08002B2CF9AE}" pid="4" name="ICV">
    <vt:lpwstr>38B16D4CEB8442EA8202119693558730</vt:lpwstr>
  </property>
</Properties>
</file>