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420"/>
        </w:tabs>
        <w:wordWrap w:val="0"/>
        <w:spacing w:line="580" w:lineRule="exact"/>
        <w:jc w:val="right"/>
        <w:rPr>
          <w:rFonts w:hint="eastAsia" w:ascii="仿宋_GB2312" w:hAnsi="仿宋_GB2312" w:eastAsia="仿宋_GB2312" w:cs="仿宋_GB2312"/>
          <w:sz w:val="32"/>
          <w:szCs w:val="32"/>
        </w:rPr>
      </w:pPr>
    </w:p>
    <w:p>
      <w:pPr>
        <w:pStyle w:val="2"/>
        <w:wordWrap/>
        <w:rPr>
          <w:rFonts w:hint="eastAsia" w:ascii="仿宋_GB2312" w:hAnsi="仿宋_GB2312" w:eastAsia="仿宋_GB2312" w:cs="仿宋_GB2312"/>
          <w:sz w:val="32"/>
          <w:szCs w:val="32"/>
        </w:rPr>
      </w:pPr>
    </w:p>
    <w:p>
      <w:pPr>
        <w:spacing w:line="480" w:lineRule="exact"/>
        <w:jc w:val="right"/>
        <w:rPr>
          <w:rFonts w:hint="eastAsia" w:ascii="仿宋_GB2312" w:eastAsia="仿宋_GB2312"/>
          <w:sz w:val="32"/>
        </w:rPr>
      </w:pPr>
      <w:r>
        <w:rPr>
          <w:rFonts w:hint="eastAsia" w:ascii="仿宋_GB2312" w:eastAsia="仿宋_GB2312"/>
          <w:sz w:val="32"/>
        </w:rPr>
        <w:t>湛环建霞〔20</w:t>
      </w:r>
      <w:r>
        <w:rPr>
          <w:rFonts w:hint="eastAsia" w:ascii="仿宋_GB2312" w:eastAsia="仿宋_GB2312"/>
          <w:sz w:val="32"/>
          <w:lang w:val="en-US" w:eastAsia="zh-CN"/>
        </w:rPr>
        <w:t>22</w:t>
      </w:r>
      <w:r>
        <w:rPr>
          <w:rFonts w:hint="eastAsia" w:ascii="仿宋_GB2312" w:eastAsia="仿宋_GB2312"/>
          <w:sz w:val="32"/>
        </w:rPr>
        <w:t>〕</w:t>
      </w:r>
      <w:r>
        <w:rPr>
          <w:rFonts w:hint="eastAsia" w:ascii="仿宋_GB2312" w:eastAsia="仿宋_GB2312"/>
          <w:sz w:val="32"/>
          <w:lang w:val="en-US" w:eastAsia="zh-CN"/>
        </w:rPr>
        <w:t>4</w:t>
      </w:r>
      <w:r>
        <w:rPr>
          <w:rFonts w:hint="eastAsia" w:ascii="仿宋_GB2312" w:eastAsia="仿宋_GB2312"/>
          <w:sz w:val="32"/>
        </w:rPr>
        <w:t>号</w:t>
      </w:r>
    </w:p>
    <w:p>
      <w:pPr>
        <w:spacing w:line="540" w:lineRule="exact"/>
        <w:rPr>
          <w:rFonts w:hint="eastAsia" w:ascii="仿宋_GB2312" w:eastAsia="仿宋_GB2312"/>
          <w:sz w:val="32"/>
          <w:szCs w:val="20"/>
        </w:rPr>
      </w:pPr>
    </w:p>
    <w:p>
      <w:pPr>
        <w:spacing w:line="520" w:lineRule="exact"/>
        <w:jc w:val="center"/>
        <w:rPr>
          <w:rFonts w:hint="eastAsia" w:ascii="方正小标宋简体" w:hAnsi="方正小标宋简体" w:eastAsia="方正小标宋简体" w:cs="方正小标宋简体"/>
          <w:w w:val="95"/>
          <w:sz w:val="44"/>
          <w:szCs w:val="44"/>
        </w:rPr>
      </w:pPr>
      <w:r>
        <w:rPr>
          <w:rFonts w:hint="eastAsia" w:ascii="方正小标宋简体" w:hAnsi="方正小标宋简体" w:eastAsia="方正小标宋简体" w:cs="方正小标宋简体"/>
          <w:w w:val="95"/>
          <w:sz w:val="44"/>
          <w:szCs w:val="44"/>
        </w:rPr>
        <w:t>关于中石油燃料油有限责任公司</w:t>
      </w:r>
      <w:bookmarkStart w:id="0" w:name="_GoBack"/>
      <w:bookmarkEnd w:id="0"/>
      <w:r>
        <w:rPr>
          <w:rFonts w:hint="eastAsia" w:ascii="方正小标宋简体" w:hAnsi="方正小标宋简体" w:eastAsia="方正小标宋简体" w:cs="方正小标宋简体"/>
          <w:w w:val="95"/>
          <w:sz w:val="44"/>
          <w:szCs w:val="44"/>
        </w:rPr>
        <w:t>湛江仓储分公司危险废物暂存间项目环境影响报告表的批复</w:t>
      </w:r>
    </w:p>
    <w:p>
      <w:pPr>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中石油燃料油有限责任公司湛江仓储分公司：</w:t>
      </w:r>
    </w:p>
    <w:p>
      <w:pPr>
        <w:keepNext w:val="0"/>
        <w:keepLines w:val="0"/>
        <w:pageBreakBefore w:val="0"/>
        <w:widowControl w:val="0"/>
        <w:kinsoku/>
        <w:wordWrap/>
        <w:overflowPunct/>
        <w:topLinePunct w:val="0"/>
        <w:autoSpaceDE/>
        <w:autoSpaceDN/>
        <w:bidi w:val="0"/>
        <w:adjustRightInd/>
        <w:snapToGrid/>
        <w:spacing w:line="58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你单位报批的《中石油燃料油有限责任公司湛江仓储分公司危险废物暂存间项目环境影响报告表》（以下简称“</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”）等材料收悉。经研究，批复如下：</w:t>
      </w:r>
    </w:p>
    <w:p>
      <w:pPr>
        <w:pStyle w:val="29"/>
        <w:keepNext w:val="0"/>
        <w:keepLines w:val="0"/>
        <w:pageBreakBefore w:val="0"/>
        <w:kinsoku/>
        <w:wordWrap/>
        <w:overflowPunct/>
        <w:topLinePunct w:val="0"/>
        <w:autoSpaceDE/>
        <w:autoSpaceDN/>
        <w:bidi w:val="0"/>
        <w:adjustRightInd/>
        <w:snapToGrid/>
        <w:spacing w:line="600" w:lineRule="exact"/>
        <w:ind w:firstLine="48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lang w:eastAsia="zh-CN"/>
        </w:rPr>
        <w:t>一、中石油燃料油有限责任公司湛江仓储分公司</w:t>
      </w:r>
      <w:r>
        <w:rPr>
          <w:rFonts w:hint="eastAsia" w:ascii="仿宋_GB2312" w:hAnsi="仿宋_GB2312" w:eastAsia="仿宋_GB2312" w:cs="仿宋_GB2312"/>
          <w:color w:val="auto"/>
          <w:kern w:val="2"/>
          <w:sz w:val="32"/>
          <w:szCs w:val="32"/>
          <w:lang w:val="en-US" w:eastAsia="zh-CN" w:bidi="ar-SA"/>
        </w:rPr>
        <w:t>危险废物暂存间项目位于湛江市霞山区友谊路1号湛江港务局第二作业区内</w:t>
      </w:r>
      <w:r>
        <w:rPr>
          <w:rFonts w:hint="default"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总占地面积为7.5</w:t>
      </w:r>
      <w:r>
        <w:rPr>
          <w:rFonts w:hint="default" w:ascii="仿宋_GB2312" w:hAnsi="仿宋_GB2312" w:eastAsia="仿宋_GB2312" w:cs="仿宋_GB2312"/>
          <w:color w:val="auto"/>
          <w:kern w:val="2"/>
          <w:sz w:val="32"/>
          <w:szCs w:val="32"/>
          <w:lang w:val="en-US" w:eastAsia="zh-CN" w:bidi="ar-SA"/>
        </w:rPr>
        <w:t>m2，主要暂存企业在质检过程和设备保养中产生的废原油、承接油样的废油桶、盛装油漆的油漆桶等危险废物</w:t>
      </w:r>
      <w:r>
        <w:rPr>
          <w:rFonts w:hint="eastAsia" w:ascii="仿宋_GB2312" w:hAnsi="仿宋_GB2312" w:eastAsia="仿宋_GB2312" w:cs="仿宋_GB2312"/>
          <w:color w:val="auto"/>
          <w:kern w:val="2"/>
          <w:sz w:val="32"/>
          <w:szCs w:val="32"/>
          <w:lang w:val="en-US" w:eastAsia="zh-CN" w:bidi="ar-SA"/>
        </w:rPr>
        <w:t>,最大暂存量为5.23t</w:t>
      </w:r>
      <w:r>
        <w:rPr>
          <w:rFonts w:hint="default" w:ascii="仿宋_GB2312" w:hAnsi="仿宋_GB2312" w:eastAsia="仿宋_GB2312" w:cs="仿宋_GB2312"/>
          <w:color w:val="auto"/>
          <w:kern w:val="2"/>
          <w:sz w:val="32"/>
          <w:szCs w:val="32"/>
          <w:lang w:val="en-US" w:eastAsia="zh-CN" w:bidi="ar-SA"/>
        </w:rPr>
        <w:t>；项目危险废物</w:t>
      </w:r>
      <w:r>
        <w:rPr>
          <w:rFonts w:hint="eastAsia" w:ascii="仿宋_GB2312" w:hAnsi="仿宋_GB2312" w:eastAsia="仿宋_GB2312" w:cs="仿宋_GB2312"/>
          <w:color w:val="auto"/>
          <w:kern w:val="2"/>
          <w:sz w:val="32"/>
          <w:szCs w:val="32"/>
          <w:lang w:val="en-US" w:eastAsia="zh-CN" w:bidi="ar-SA"/>
        </w:rPr>
        <w:t>暂</w:t>
      </w:r>
      <w:r>
        <w:rPr>
          <w:rFonts w:hint="default" w:ascii="仿宋_GB2312" w:hAnsi="仿宋_GB2312" w:eastAsia="仿宋_GB2312" w:cs="仿宋_GB2312"/>
          <w:color w:val="auto"/>
          <w:kern w:val="2"/>
          <w:sz w:val="32"/>
          <w:szCs w:val="32"/>
          <w:lang w:val="en-US" w:eastAsia="zh-CN" w:bidi="ar-SA"/>
        </w:rPr>
        <w:t>存情况详见表1</w:t>
      </w:r>
      <w:r>
        <w:rPr>
          <w:rFonts w:hint="eastAsia" w:ascii="仿宋_GB2312" w:hAnsi="仿宋_GB2312" w:eastAsia="仿宋_GB2312" w:cs="仿宋_GB2312"/>
          <w:color w:val="auto"/>
          <w:kern w:val="2"/>
          <w:sz w:val="32"/>
          <w:szCs w:val="32"/>
          <w:lang w:val="en-US" w:eastAsia="zh-CN" w:bidi="ar-SA"/>
        </w:rPr>
        <w:t>，工程内容见表2</w:t>
      </w:r>
      <w:r>
        <w:rPr>
          <w:rFonts w:hint="default" w:ascii="仿宋_GB2312" w:hAnsi="仿宋_GB2312" w:eastAsia="仿宋_GB2312" w:cs="仿宋_GB2312"/>
          <w:color w:val="auto"/>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val="0"/>
          <w:bCs/>
          <w:color w:val="000000"/>
          <w:sz w:val="32"/>
          <w:szCs w:val="32"/>
          <w:lang w:eastAsia="zh-CN"/>
        </w:rPr>
        <w:t>表</w:t>
      </w:r>
      <w:r>
        <w:rPr>
          <w:rFonts w:hint="default" w:ascii="Times New Roman" w:hAnsi="Times New Roman" w:eastAsia="仿宋_GB2312" w:cs="Times New Roman"/>
          <w:b w:val="0"/>
          <w:bCs/>
          <w:color w:val="000000"/>
          <w:sz w:val="32"/>
          <w:szCs w:val="32"/>
          <w:lang w:val="en-US" w:eastAsia="zh-CN"/>
        </w:rPr>
        <w:t xml:space="preserve">1 </w:t>
      </w:r>
      <w:r>
        <w:rPr>
          <w:rFonts w:hint="default" w:ascii="Times New Roman" w:hAnsi="Times New Roman" w:eastAsia="仿宋_GB2312" w:cs="Times New Roman"/>
          <w:b w:val="0"/>
          <w:bCs/>
          <w:color w:val="000000"/>
          <w:sz w:val="32"/>
          <w:szCs w:val="32"/>
        </w:rPr>
        <w:t>项目危险废物</w:t>
      </w:r>
      <w:r>
        <w:rPr>
          <w:rFonts w:hint="eastAsia" w:ascii="Times New Roman" w:hAnsi="Times New Roman" w:cs="Times New Roman"/>
          <w:b w:val="0"/>
          <w:bCs/>
          <w:color w:val="000000"/>
          <w:sz w:val="32"/>
          <w:szCs w:val="32"/>
          <w:lang w:eastAsia="zh-CN"/>
        </w:rPr>
        <w:t>暂</w:t>
      </w:r>
      <w:r>
        <w:rPr>
          <w:rFonts w:hint="default" w:ascii="Times New Roman" w:hAnsi="Times New Roman" w:eastAsia="仿宋_GB2312" w:cs="Times New Roman"/>
          <w:b w:val="0"/>
          <w:bCs/>
          <w:color w:val="000000"/>
          <w:sz w:val="32"/>
          <w:szCs w:val="32"/>
        </w:rPr>
        <w:t>存情况表</w:t>
      </w:r>
    </w:p>
    <w:tbl>
      <w:tblPr>
        <w:tblStyle w:val="19"/>
        <w:tblpPr w:leftFromText="180" w:rightFromText="180" w:vertAnchor="text" w:horzAnchor="margin" w:tblpY="94"/>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1306"/>
        <w:gridCol w:w="995"/>
        <w:gridCol w:w="1575"/>
        <w:gridCol w:w="1129"/>
        <w:gridCol w:w="1151"/>
        <w:gridCol w:w="841"/>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 w:type="pct"/>
            <w:noWrap w:val="0"/>
            <w:vAlign w:val="center"/>
          </w:tcPr>
          <w:p>
            <w:pPr>
              <w:adjustRightInd w:val="0"/>
              <w:snapToGrid w:val="0"/>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序号</w:t>
            </w:r>
          </w:p>
        </w:tc>
        <w:tc>
          <w:tcPr>
            <w:tcW w:w="721" w:type="pct"/>
            <w:noWrap w:val="0"/>
            <w:vAlign w:val="center"/>
          </w:tcPr>
          <w:p>
            <w:pPr>
              <w:adjustRightInd w:val="0"/>
              <w:snapToGrid w:val="0"/>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名称</w:t>
            </w:r>
          </w:p>
        </w:tc>
        <w:tc>
          <w:tcPr>
            <w:tcW w:w="549" w:type="pct"/>
            <w:noWrap w:val="0"/>
            <w:vAlign w:val="center"/>
          </w:tcPr>
          <w:p>
            <w:pPr>
              <w:adjustRightInd w:val="0"/>
              <w:snapToGrid w:val="0"/>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物态</w:t>
            </w:r>
          </w:p>
        </w:tc>
        <w:tc>
          <w:tcPr>
            <w:tcW w:w="869" w:type="pct"/>
            <w:noWrap w:val="0"/>
            <w:vAlign w:val="center"/>
          </w:tcPr>
          <w:p>
            <w:pPr>
              <w:adjustRightInd w:val="0"/>
              <w:snapToGrid w:val="0"/>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最大储存量（t）</w:t>
            </w:r>
          </w:p>
        </w:tc>
        <w:tc>
          <w:tcPr>
            <w:tcW w:w="623" w:type="pct"/>
            <w:noWrap w:val="0"/>
            <w:vAlign w:val="center"/>
          </w:tcPr>
          <w:p>
            <w:pPr>
              <w:adjustRightInd w:val="0"/>
              <w:snapToGrid w:val="0"/>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产生量（t）</w:t>
            </w:r>
          </w:p>
        </w:tc>
        <w:tc>
          <w:tcPr>
            <w:tcW w:w="635" w:type="pct"/>
            <w:noWrap w:val="0"/>
            <w:vAlign w:val="center"/>
          </w:tcPr>
          <w:p>
            <w:pPr>
              <w:adjustRightInd w:val="0"/>
              <w:snapToGrid w:val="0"/>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最大储存周期</w:t>
            </w:r>
          </w:p>
        </w:tc>
        <w:tc>
          <w:tcPr>
            <w:tcW w:w="464" w:type="pct"/>
            <w:noWrap w:val="0"/>
            <w:vAlign w:val="center"/>
          </w:tcPr>
          <w:p>
            <w:pPr>
              <w:adjustRightInd w:val="0"/>
              <w:snapToGrid w:val="0"/>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危废种类</w:t>
            </w:r>
          </w:p>
        </w:tc>
        <w:tc>
          <w:tcPr>
            <w:tcW w:w="729" w:type="pct"/>
            <w:noWrap w:val="0"/>
            <w:vAlign w:val="center"/>
          </w:tcPr>
          <w:p>
            <w:pPr>
              <w:adjustRightInd w:val="0"/>
              <w:snapToGrid w:val="0"/>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危险特性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407"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1</w:t>
            </w:r>
          </w:p>
        </w:tc>
        <w:tc>
          <w:tcPr>
            <w:tcW w:w="721"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color w:val="000000"/>
                <w:kern w:val="0"/>
                <w:sz w:val="24"/>
                <w:szCs w:val="24"/>
              </w:rPr>
              <w:t>废原油</w:t>
            </w:r>
          </w:p>
        </w:tc>
        <w:tc>
          <w:tcPr>
            <w:tcW w:w="549"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color w:val="000000"/>
                <w:kern w:val="0"/>
                <w:sz w:val="24"/>
                <w:szCs w:val="24"/>
              </w:rPr>
              <w:t>液态</w:t>
            </w:r>
          </w:p>
        </w:tc>
        <w:tc>
          <w:tcPr>
            <w:tcW w:w="869"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5</w:t>
            </w:r>
          </w:p>
        </w:tc>
        <w:tc>
          <w:tcPr>
            <w:tcW w:w="623"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20</w:t>
            </w:r>
          </w:p>
        </w:tc>
        <w:tc>
          <w:tcPr>
            <w:tcW w:w="635"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3个月</w:t>
            </w:r>
          </w:p>
        </w:tc>
        <w:tc>
          <w:tcPr>
            <w:tcW w:w="464"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HW08</w:t>
            </w:r>
          </w:p>
        </w:tc>
        <w:tc>
          <w:tcPr>
            <w:tcW w:w="729"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color w:val="000000"/>
                <w:kern w:val="0"/>
                <w:sz w:val="24"/>
                <w:szCs w:val="24"/>
              </w:rPr>
              <w:t>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2</w:t>
            </w:r>
          </w:p>
        </w:tc>
        <w:tc>
          <w:tcPr>
            <w:tcW w:w="721"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color w:val="000000"/>
                <w:sz w:val="24"/>
                <w:szCs w:val="24"/>
              </w:rPr>
              <w:t>承接油样的废油桶</w:t>
            </w:r>
          </w:p>
        </w:tc>
        <w:tc>
          <w:tcPr>
            <w:tcW w:w="549"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固态</w:t>
            </w:r>
          </w:p>
        </w:tc>
        <w:tc>
          <w:tcPr>
            <w:tcW w:w="869"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0.03</w:t>
            </w:r>
          </w:p>
        </w:tc>
        <w:tc>
          <w:tcPr>
            <w:tcW w:w="623"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0.6</w:t>
            </w:r>
          </w:p>
        </w:tc>
        <w:tc>
          <w:tcPr>
            <w:tcW w:w="635"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20天</w:t>
            </w:r>
          </w:p>
        </w:tc>
        <w:tc>
          <w:tcPr>
            <w:tcW w:w="464" w:type="pct"/>
            <w:noWrap w:val="0"/>
            <w:vAlign w:val="center"/>
          </w:tcPr>
          <w:p>
            <w:pPr>
              <w:adjustRightInd w:val="0"/>
              <w:snapToGrid w:val="0"/>
              <w:jc w:val="center"/>
              <w:rPr>
                <w:rFonts w:hint="eastAsia" w:ascii="仿宋_GB2312" w:hAnsi="仿宋_GB2312" w:eastAsia="仿宋_GB2312" w:cs="仿宋_GB2312"/>
                <w:bCs/>
                <w:color w:val="000000"/>
                <w:sz w:val="24"/>
                <w:szCs w:val="24"/>
                <w:u w:val="single"/>
              </w:rPr>
            </w:pPr>
            <w:r>
              <w:rPr>
                <w:rFonts w:hint="eastAsia" w:ascii="仿宋_GB2312" w:hAnsi="仿宋_GB2312" w:eastAsia="仿宋_GB2312" w:cs="仿宋_GB2312"/>
                <w:bCs/>
                <w:color w:val="000000"/>
                <w:sz w:val="24"/>
                <w:szCs w:val="24"/>
                <w:u w:val="single"/>
              </w:rPr>
              <w:t>HW08</w:t>
            </w:r>
          </w:p>
        </w:tc>
        <w:tc>
          <w:tcPr>
            <w:tcW w:w="729" w:type="pct"/>
            <w:noWrap w:val="0"/>
            <w:vAlign w:val="center"/>
          </w:tcPr>
          <w:p>
            <w:pPr>
              <w:adjustRightInd w:val="0"/>
              <w:snapToGrid w:val="0"/>
              <w:jc w:val="center"/>
              <w:rPr>
                <w:rFonts w:hint="eastAsia" w:ascii="仿宋_GB2312" w:hAnsi="仿宋_GB2312" w:eastAsia="仿宋_GB2312" w:cs="仿宋_GB2312"/>
                <w:bCs/>
                <w:color w:val="000000"/>
                <w:sz w:val="24"/>
                <w:szCs w:val="24"/>
                <w:u w:val="single"/>
              </w:rPr>
            </w:pPr>
            <w:r>
              <w:rPr>
                <w:rFonts w:hint="eastAsia" w:ascii="仿宋_GB2312" w:hAnsi="仿宋_GB2312" w:eastAsia="仿宋_GB2312" w:cs="仿宋_GB2312"/>
                <w:bCs/>
                <w:color w:val="000000"/>
                <w:sz w:val="24"/>
                <w:szCs w:val="24"/>
                <w:u w:val="single"/>
              </w:rPr>
              <w:t>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3</w:t>
            </w:r>
          </w:p>
        </w:tc>
        <w:tc>
          <w:tcPr>
            <w:tcW w:w="721" w:type="pct"/>
            <w:noWrap w:val="0"/>
            <w:vAlign w:val="center"/>
          </w:tcPr>
          <w:p>
            <w:pPr>
              <w:adjustRightInd w:val="0"/>
              <w:snapToGrid w:val="0"/>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盛装油漆的油漆桶</w:t>
            </w:r>
          </w:p>
        </w:tc>
        <w:tc>
          <w:tcPr>
            <w:tcW w:w="549"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固态</w:t>
            </w:r>
          </w:p>
        </w:tc>
        <w:tc>
          <w:tcPr>
            <w:tcW w:w="869"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0.2</w:t>
            </w:r>
          </w:p>
        </w:tc>
        <w:tc>
          <w:tcPr>
            <w:tcW w:w="623"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3</w:t>
            </w:r>
          </w:p>
        </w:tc>
        <w:tc>
          <w:tcPr>
            <w:tcW w:w="635"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25天</w:t>
            </w:r>
          </w:p>
        </w:tc>
        <w:tc>
          <w:tcPr>
            <w:tcW w:w="464"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HW49</w:t>
            </w:r>
          </w:p>
        </w:tc>
        <w:tc>
          <w:tcPr>
            <w:tcW w:w="729"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407"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合计</w:t>
            </w:r>
          </w:p>
        </w:tc>
        <w:tc>
          <w:tcPr>
            <w:tcW w:w="721" w:type="pct"/>
            <w:noWrap w:val="0"/>
            <w:vAlign w:val="center"/>
          </w:tcPr>
          <w:p>
            <w:pPr>
              <w:adjustRightInd w:val="0"/>
              <w:snapToGrid w:val="0"/>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w:t>
            </w:r>
          </w:p>
        </w:tc>
        <w:tc>
          <w:tcPr>
            <w:tcW w:w="549"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w:t>
            </w:r>
          </w:p>
        </w:tc>
        <w:tc>
          <w:tcPr>
            <w:tcW w:w="869"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5.23</w:t>
            </w:r>
          </w:p>
        </w:tc>
        <w:tc>
          <w:tcPr>
            <w:tcW w:w="623"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23.6</w:t>
            </w:r>
          </w:p>
        </w:tc>
        <w:tc>
          <w:tcPr>
            <w:tcW w:w="635"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w:t>
            </w:r>
          </w:p>
        </w:tc>
        <w:tc>
          <w:tcPr>
            <w:tcW w:w="464"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w:t>
            </w:r>
          </w:p>
        </w:tc>
        <w:tc>
          <w:tcPr>
            <w:tcW w:w="729" w:type="pct"/>
            <w:noWrap w:val="0"/>
            <w:vAlign w:val="center"/>
          </w:tcPr>
          <w:p>
            <w:pPr>
              <w:adjustRightInd w:val="0"/>
              <w:snapToGrid w:val="0"/>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8"/>
            <w:noWrap w:val="0"/>
            <w:vAlign w:val="top"/>
          </w:tcPr>
          <w:p>
            <w:pPr>
              <w:adjustRightInd w:val="0"/>
              <w:snapToGrid w:val="0"/>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备注：</w:t>
            </w:r>
            <w:r>
              <w:rPr>
                <w:rFonts w:hint="eastAsia" w:ascii="仿宋_GB2312" w:hAnsi="仿宋_GB2312" w:eastAsia="仿宋_GB2312" w:cs="仿宋_GB2312"/>
                <w:color w:val="000000"/>
                <w:kern w:val="0"/>
                <w:sz w:val="24"/>
                <w:szCs w:val="24"/>
              </w:rPr>
              <w:t>项目仅为原有工程服务，不收集外界的危险废物。</w:t>
            </w:r>
          </w:p>
        </w:tc>
      </w:tr>
    </w:tbl>
    <w:p>
      <w:pPr>
        <w:pStyle w:val="13"/>
        <w:keepNext w:val="0"/>
        <w:keepLines w:val="0"/>
        <w:pageBreakBefore w:val="0"/>
        <w:widowControl w:val="0"/>
        <w:kinsoku/>
        <w:wordWrap/>
        <w:overflowPunct/>
        <w:topLinePunct w:val="0"/>
        <w:autoSpaceDE/>
        <w:autoSpaceDN/>
        <w:bidi w:val="0"/>
        <w:adjustRightInd/>
        <w:snapToGrid/>
        <w:spacing w:line="600" w:lineRule="exact"/>
        <w:ind w:firstLine="2560" w:firstLineChars="800"/>
        <w:jc w:val="both"/>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b w:val="0"/>
          <w:bCs w:val="0"/>
          <w:color w:val="000000"/>
          <w:sz w:val="32"/>
          <w:szCs w:val="32"/>
          <w:lang w:val="en-US" w:eastAsia="zh-CN"/>
        </w:rPr>
        <w:t>表</w:t>
      </w:r>
      <w:r>
        <w:rPr>
          <w:rFonts w:hint="eastAsia" w:ascii="Times New Roman" w:hAnsi="Times New Roman" w:eastAsia="仿宋_GB2312" w:cs="Times New Roman"/>
          <w:b w:val="0"/>
          <w:bCs w:val="0"/>
          <w:color w:val="000000"/>
          <w:sz w:val="32"/>
          <w:szCs w:val="32"/>
          <w:lang w:val="en-US" w:eastAsia="zh-CN"/>
        </w:rPr>
        <w:t>2</w:t>
      </w:r>
      <w:r>
        <w:rPr>
          <w:rFonts w:hint="default" w:ascii="Times New Roman" w:hAnsi="Times New Roman" w:eastAsia="仿宋_GB2312" w:cs="Times New Roman"/>
          <w:b w:val="0"/>
          <w:bCs w:val="0"/>
          <w:color w:val="000000"/>
          <w:sz w:val="32"/>
          <w:szCs w:val="32"/>
          <w:lang w:val="en-US" w:eastAsia="zh-CN"/>
        </w:rPr>
        <w:t xml:space="preserve"> </w:t>
      </w:r>
      <w:r>
        <w:rPr>
          <w:rFonts w:hint="default" w:ascii="Times New Roman" w:hAnsi="Times New Roman" w:eastAsia="仿宋_GB2312" w:cs="Times New Roman"/>
          <w:color w:val="000000"/>
          <w:kern w:val="2"/>
          <w:sz w:val="32"/>
          <w:szCs w:val="32"/>
          <w:lang w:val="en-US" w:eastAsia="zh-CN" w:bidi="ar-SA"/>
        </w:rPr>
        <w:t>项目</w:t>
      </w:r>
      <w:r>
        <w:rPr>
          <w:rFonts w:hint="eastAsia" w:ascii="Times New Roman" w:hAnsi="Times New Roman" w:eastAsia="仿宋_GB2312" w:cs="Times New Roman"/>
          <w:color w:val="000000"/>
          <w:kern w:val="2"/>
          <w:sz w:val="32"/>
          <w:szCs w:val="32"/>
          <w:lang w:val="en-US" w:eastAsia="zh-CN" w:bidi="ar-SA"/>
        </w:rPr>
        <w:t>工程内容</w:t>
      </w:r>
    </w:p>
    <w:tbl>
      <w:tblPr>
        <w:tblStyle w:val="1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2"/>
        <w:gridCol w:w="1418"/>
        <w:gridCol w:w="6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工程类别</w:t>
            </w:r>
          </w:p>
        </w:tc>
        <w:tc>
          <w:tcPr>
            <w:tcW w:w="783"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工程名称</w:t>
            </w:r>
          </w:p>
        </w:tc>
        <w:tc>
          <w:tcPr>
            <w:tcW w:w="3525"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主体工程</w:t>
            </w:r>
          </w:p>
        </w:tc>
        <w:tc>
          <w:tcPr>
            <w:tcW w:w="783"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危废暂存间</w:t>
            </w:r>
          </w:p>
        </w:tc>
        <w:tc>
          <w:tcPr>
            <w:tcW w:w="3525"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占地面积约7.5m</w:t>
            </w:r>
            <w:r>
              <w:rPr>
                <w:rFonts w:hint="eastAsia" w:ascii="仿宋_GB2312" w:hAnsi="仿宋_GB2312" w:eastAsia="仿宋_GB2312" w:cs="仿宋_GB2312"/>
                <w:color w:val="000000"/>
                <w:sz w:val="24"/>
                <w:szCs w:val="24"/>
                <w:vertAlign w:val="superscript"/>
              </w:rPr>
              <w:t>2</w:t>
            </w:r>
            <w:r>
              <w:rPr>
                <w:rFonts w:hint="eastAsia" w:ascii="仿宋_GB2312" w:hAnsi="仿宋_GB2312" w:eastAsia="仿宋_GB2312" w:cs="仿宋_GB2312"/>
                <w:color w:val="000000"/>
                <w:sz w:val="24"/>
                <w:szCs w:val="24"/>
              </w:rPr>
              <w:t>，共1间，存放承接油样的废油桶、盛装油漆的油漆桶，以及废原油。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691" w:type="pct"/>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公用工程</w:t>
            </w:r>
          </w:p>
        </w:tc>
        <w:tc>
          <w:tcPr>
            <w:tcW w:w="783"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供水工程</w:t>
            </w:r>
          </w:p>
        </w:tc>
        <w:tc>
          <w:tcPr>
            <w:tcW w:w="3525"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项目运营期无生产用水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jc w:val="center"/>
        </w:trPr>
        <w:tc>
          <w:tcPr>
            <w:tcW w:w="69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76" w:lineRule="auto"/>
              <w:jc w:val="center"/>
              <w:rPr>
                <w:rFonts w:hint="eastAsia" w:ascii="仿宋_GB2312" w:hAnsi="仿宋_GB2312" w:eastAsia="仿宋_GB2312" w:cs="仿宋_GB2312"/>
                <w:color w:val="000000"/>
                <w:sz w:val="24"/>
                <w:szCs w:val="24"/>
              </w:rPr>
            </w:pPr>
          </w:p>
        </w:tc>
        <w:tc>
          <w:tcPr>
            <w:tcW w:w="783"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排水工程</w:t>
            </w:r>
          </w:p>
        </w:tc>
        <w:tc>
          <w:tcPr>
            <w:tcW w:w="3525"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雨水排入雨水管网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76" w:lineRule="auto"/>
              <w:jc w:val="center"/>
              <w:rPr>
                <w:rFonts w:hint="eastAsia" w:ascii="仿宋_GB2312" w:hAnsi="仿宋_GB2312" w:eastAsia="仿宋_GB2312" w:cs="仿宋_GB2312"/>
                <w:color w:val="000000"/>
                <w:sz w:val="24"/>
                <w:szCs w:val="24"/>
              </w:rPr>
            </w:pPr>
          </w:p>
        </w:tc>
        <w:tc>
          <w:tcPr>
            <w:tcW w:w="783"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供电工程</w:t>
            </w:r>
          </w:p>
        </w:tc>
        <w:tc>
          <w:tcPr>
            <w:tcW w:w="3525"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用电来自园区供电网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pct"/>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环保工程</w:t>
            </w:r>
          </w:p>
        </w:tc>
        <w:tc>
          <w:tcPr>
            <w:tcW w:w="783"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防渗系统</w:t>
            </w:r>
          </w:p>
        </w:tc>
        <w:tc>
          <w:tcPr>
            <w:tcW w:w="3525"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暂存间内地面，采用黏土铺底，上铺混凝土层进行硬化，然后铺金刚砂层，最后涂环氧树脂防腐防渗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76" w:lineRule="auto"/>
              <w:jc w:val="center"/>
              <w:rPr>
                <w:rFonts w:hint="eastAsia" w:ascii="仿宋_GB2312" w:hAnsi="仿宋_GB2312" w:eastAsia="仿宋_GB2312" w:cs="仿宋_GB2312"/>
                <w:color w:val="000000"/>
                <w:sz w:val="24"/>
                <w:szCs w:val="24"/>
              </w:rPr>
            </w:pPr>
          </w:p>
        </w:tc>
        <w:tc>
          <w:tcPr>
            <w:tcW w:w="783"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废气处理</w:t>
            </w:r>
          </w:p>
        </w:tc>
        <w:tc>
          <w:tcPr>
            <w:tcW w:w="3525"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危废间内设置防静电、防爆通风风机，危废间内产生的废气无组织排放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76" w:lineRule="auto"/>
              <w:jc w:val="center"/>
              <w:rPr>
                <w:rFonts w:hint="eastAsia" w:ascii="仿宋_GB2312" w:hAnsi="仿宋_GB2312" w:eastAsia="仿宋_GB2312" w:cs="仿宋_GB2312"/>
                <w:color w:val="000000"/>
                <w:sz w:val="24"/>
                <w:szCs w:val="24"/>
              </w:rPr>
            </w:pPr>
          </w:p>
        </w:tc>
        <w:tc>
          <w:tcPr>
            <w:tcW w:w="783"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废水处理</w:t>
            </w:r>
          </w:p>
        </w:tc>
        <w:tc>
          <w:tcPr>
            <w:tcW w:w="3525"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项目运行过程中无废水产生；不增加新员工，危废间专管人员1人为原有员工兼顾，员工生活污水</w:t>
            </w:r>
            <w:r>
              <w:rPr>
                <w:rFonts w:hint="eastAsia" w:ascii="仿宋_GB2312" w:hAnsi="仿宋_GB2312" w:eastAsia="仿宋_GB2312" w:cs="仿宋_GB2312"/>
                <w:color w:val="000000"/>
                <w:sz w:val="24"/>
                <w:szCs w:val="24"/>
                <w:u w:val="none"/>
              </w:rPr>
              <w:t>依托现有办公区生活污水管道排放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76" w:lineRule="auto"/>
              <w:jc w:val="center"/>
              <w:rPr>
                <w:rFonts w:hint="eastAsia" w:ascii="仿宋_GB2312" w:hAnsi="仿宋_GB2312" w:eastAsia="仿宋_GB2312" w:cs="仿宋_GB2312"/>
                <w:color w:val="000000"/>
                <w:sz w:val="24"/>
                <w:szCs w:val="24"/>
              </w:rPr>
            </w:pPr>
          </w:p>
        </w:tc>
        <w:tc>
          <w:tcPr>
            <w:tcW w:w="783"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噪声处理</w:t>
            </w:r>
          </w:p>
        </w:tc>
        <w:tc>
          <w:tcPr>
            <w:tcW w:w="3525"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运输车辆噪声通过加强进出车辆管理，减速禁鸣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76" w:lineRule="auto"/>
              <w:jc w:val="center"/>
              <w:rPr>
                <w:rFonts w:hint="eastAsia" w:ascii="仿宋_GB2312" w:hAnsi="仿宋_GB2312" w:eastAsia="仿宋_GB2312" w:cs="仿宋_GB2312"/>
                <w:color w:val="000000"/>
                <w:sz w:val="24"/>
                <w:szCs w:val="24"/>
              </w:rPr>
            </w:pPr>
          </w:p>
        </w:tc>
        <w:tc>
          <w:tcPr>
            <w:tcW w:w="783"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固废处理</w:t>
            </w:r>
          </w:p>
        </w:tc>
        <w:tc>
          <w:tcPr>
            <w:tcW w:w="3525"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本项目分类暂存的危险废物交由有资质单位处理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76" w:lineRule="auto"/>
              <w:jc w:val="center"/>
              <w:rPr>
                <w:rFonts w:hint="eastAsia" w:ascii="仿宋_GB2312" w:hAnsi="仿宋_GB2312" w:eastAsia="仿宋_GB2312" w:cs="仿宋_GB2312"/>
                <w:color w:val="000000"/>
                <w:sz w:val="24"/>
                <w:szCs w:val="24"/>
              </w:rPr>
            </w:pPr>
          </w:p>
        </w:tc>
        <w:tc>
          <w:tcPr>
            <w:tcW w:w="783"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风险防控</w:t>
            </w:r>
          </w:p>
        </w:tc>
        <w:tc>
          <w:tcPr>
            <w:tcW w:w="3525"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76" w:lineRule="auto"/>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危废间设置废液收集池，容积为1m</w:t>
            </w:r>
            <w:r>
              <w:rPr>
                <w:rFonts w:hint="eastAsia" w:ascii="仿宋_GB2312" w:hAnsi="仿宋_GB2312" w:eastAsia="仿宋_GB2312" w:cs="仿宋_GB2312"/>
                <w:color w:val="000000"/>
                <w:sz w:val="24"/>
                <w:szCs w:val="24"/>
                <w:vertAlign w:val="superscript"/>
              </w:rPr>
              <w:t>3</w:t>
            </w:r>
            <w:r>
              <w:rPr>
                <w:rFonts w:hint="eastAsia" w:ascii="仿宋_GB2312" w:hAnsi="仿宋_GB2312" w:eastAsia="仿宋_GB2312" w:cs="仿宋_GB2312"/>
                <w:color w:val="000000"/>
                <w:sz w:val="24"/>
                <w:szCs w:val="24"/>
              </w:rPr>
              <w:t>（长1m×宽1m×高1m），门口设置有导流沟，导流沟与废液收集池相连。废质检原油存放在200L油桶内，用盖密封，油桶下方设置有泄漏物收集不锈钢托盘（长1.5米×宽1.5米×高0.3m）作为围堰。危废间内设置气体监测仪，实时监测可燃性气体。</w:t>
            </w:r>
          </w:p>
        </w:tc>
      </w:tr>
    </w:tbl>
    <w:p>
      <w:pPr>
        <w:pStyle w:val="29"/>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eastAsia="zh-CN"/>
        </w:rPr>
        <w:t>项目</w:t>
      </w:r>
      <w:r>
        <w:rPr>
          <w:rFonts w:hint="default" w:ascii="Times New Roman" w:hAnsi="Times New Roman" w:eastAsia="仿宋_GB2312" w:cs="Times New Roman"/>
          <w:color w:val="000000"/>
          <w:sz w:val="32"/>
          <w:szCs w:val="32"/>
          <w:lang w:val="en-US" w:eastAsia="zh-CN"/>
        </w:rPr>
        <w:t>只暂存中石油燃料油有限责任公司湛江仓储分公司内部产生的危险废物</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定期交由有相应危废处理资质单位处置。总投资40万元，其中环保投资</w:t>
      </w:r>
      <w:r>
        <w:rPr>
          <w:rFonts w:hint="eastAsia" w:ascii="Times New Roman" w:hAnsi="Times New Roman" w:eastAsia="仿宋_GB2312" w:cs="Times New Roman"/>
          <w:color w:val="000000"/>
          <w:sz w:val="32"/>
          <w:szCs w:val="32"/>
          <w:lang w:val="en-US" w:eastAsia="zh-CN"/>
        </w:rPr>
        <w:t>40</w:t>
      </w:r>
      <w:r>
        <w:rPr>
          <w:rFonts w:hint="default" w:ascii="Times New Roman" w:hAnsi="Times New Roman" w:eastAsia="仿宋_GB2312" w:cs="Times New Roman"/>
          <w:color w:val="000000"/>
          <w:sz w:val="32"/>
          <w:szCs w:val="32"/>
          <w:lang w:val="en-US" w:eastAsia="zh-CN"/>
        </w:rPr>
        <w:t>万元，</w:t>
      </w:r>
      <w:r>
        <w:rPr>
          <w:rFonts w:hint="eastAsia" w:ascii="Times New Roman" w:hAnsi="Times New Roman" w:eastAsia="仿宋_GB2312" w:cs="Times New Roman"/>
          <w:color w:val="000000"/>
          <w:sz w:val="32"/>
          <w:szCs w:val="32"/>
          <w:lang w:val="en-US" w:eastAsia="zh-CN"/>
        </w:rPr>
        <w:t>环保投资占总投资100%，项目</w:t>
      </w:r>
      <w:r>
        <w:rPr>
          <w:rFonts w:hint="default" w:ascii="Times New Roman" w:hAnsi="Times New Roman" w:eastAsia="仿宋_GB2312" w:cs="Times New Roman"/>
          <w:color w:val="000000"/>
          <w:sz w:val="32"/>
          <w:szCs w:val="32"/>
          <w:lang w:val="en-US" w:eastAsia="zh-CN"/>
        </w:rPr>
        <w:t>无新增工作人员；年工作365天，</w:t>
      </w:r>
      <w:r>
        <w:rPr>
          <w:rFonts w:hint="eastAsia" w:ascii="Times New Roman" w:hAnsi="Times New Roman" w:eastAsia="仿宋_GB2312" w:cs="Times New Roman"/>
          <w:color w:val="000000"/>
          <w:sz w:val="32"/>
          <w:szCs w:val="32"/>
          <w:lang w:val="en-US" w:eastAsia="zh-CN"/>
        </w:rPr>
        <w:t>工作8小时</w:t>
      </w:r>
      <w:r>
        <w:rPr>
          <w:rFonts w:hint="default" w:ascii="Times New Roman" w:hAnsi="Times New Roman" w:eastAsia="仿宋_GB2312" w:cs="Times New Roman"/>
          <w:color w:val="00000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的评价结论及湛江市生态环境技术中心《关于中石油燃料油有限责任公司危险废物暂存间项目环境影响报告表的评估意见》（湛环技评表〔202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号），在全面落实</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中提出的各项污染防治和风险防范措施，并确保污染物排放稳定达标且符合总量要求的前提下，项目按照</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中所列性质、规模、地点和拟采取的环境保护措施进行建设，从环境保护角度可行。我局原则通过对</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的审查，你公司应按照</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内容组织实施。</w:t>
      </w:r>
    </w:p>
    <w:p>
      <w:pPr>
        <w:keepNext w:val="0"/>
        <w:keepLines w:val="0"/>
        <w:pageBreakBefore w:val="0"/>
        <w:widowControl w:val="0"/>
        <w:kinsoku/>
        <w:wordWrap/>
        <w:overflowPunct/>
        <w:topLinePunct w:val="0"/>
        <w:autoSpaceDE/>
        <w:autoSpaceDN/>
        <w:bidi w:val="0"/>
        <w:adjustRightInd/>
        <w:snapToGrid/>
        <w:spacing w:line="58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、项目建设和运营中还应重点做好以下工作：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该项目须加强环保管理和“三废”污染防治设施维护，严格按照环评的要求落实各项污染防治措施风险防范和应急处置措施，确保项目固废得到有效处置，各类污染物稳定达标排放，防止危险废物泄漏、火灾或爆炸等事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该项目须加强危险废物的管理。1.严格按照《危险废物贮存污染控制标准》（GB18597-2001及其2013年修改单）中的相关规定设计建设危险废物暂存间，满足防雨、防渗、防风、防晒、防漏等要求，并设置截留沟；2.危险废物须交由有资质的单位进行安全处置；3.建立危险废物管理台账，如实记录产生固体废物的种类、数量、利用、贮存、处置、流向等信息，存档备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（三）该项目</w:t>
      </w:r>
      <w:r>
        <w:rPr>
          <w:rFonts w:hint="default" w:ascii="Times New Roman" w:hAnsi="Times New Roman" w:eastAsia="仿宋_GB2312" w:cs="Times New Roman"/>
          <w:color w:val="000000"/>
          <w:sz w:val="32"/>
          <w:szCs w:val="32"/>
          <w:lang w:val="en-US" w:eastAsia="zh-CN"/>
        </w:rPr>
        <w:t>非甲烷总烃</w:t>
      </w:r>
      <w:r>
        <w:rPr>
          <w:rFonts w:hint="eastAsia" w:ascii="Times New Roman" w:hAnsi="Times New Roman" w:eastAsia="仿宋_GB2312" w:cs="Times New Roman"/>
          <w:color w:val="000000"/>
          <w:sz w:val="32"/>
          <w:szCs w:val="32"/>
          <w:lang w:val="en-US" w:eastAsia="zh-CN"/>
        </w:rPr>
        <w:t>执行</w:t>
      </w:r>
      <w:r>
        <w:rPr>
          <w:rFonts w:hint="default" w:ascii="Times New Roman" w:hAnsi="Times New Roman" w:eastAsia="仿宋_GB2312" w:cs="Times New Roman"/>
          <w:color w:val="000000"/>
          <w:sz w:val="32"/>
          <w:szCs w:val="32"/>
          <w:lang w:val="en-US" w:eastAsia="zh-CN"/>
        </w:rPr>
        <w:t>广东省《大气污染物排放限值》（DB44/27- 2001）中第二时段无组织排放监控浓度限值，厂区内</w:t>
      </w:r>
      <w:r>
        <w:rPr>
          <w:rFonts w:hint="eastAsia" w:ascii="Times New Roman" w:hAnsi="Times New Roman" w:eastAsia="仿宋_GB2312" w:cs="Times New Roman"/>
          <w:color w:val="000000"/>
          <w:sz w:val="32"/>
          <w:szCs w:val="32"/>
          <w:lang w:val="en-US" w:eastAsia="zh-CN"/>
        </w:rPr>
        <w:t>NMHC</w:t>
      </w:r>
      <w:r>
        <w:rPr>
          <w:rFonts w:hint="default" w:ascii="Times New Roman" w:hAnsi="Times New Roman" w:eastAsia="仿宋_GB2312" w:cs="Times New Roman"/>
          <w:color w:val="000000"/>
          <w:sz w:val="32"/>
          <w:szCs w:val="32"/>
          <w:lang w:val="en-US" w:eastAsia="zh-CN"/>
        </w:rPr>
        <w:t>无组织排放满足《挥发性有机物无组织排放控制标准》（GB37822-2019）特别排放限值</w:t>
      </w:r>
      <w:r>
        <w:rPr>
          <w:rFonts w:hint="eastAsia" w:ascii="Times New Roman" w:hAnsi="Times New Roman" w:eastAsia="仿宋_GB2312" w:cs="Times New Roman"/>
          <w:color w:val="000000"/>
          <w:sz w:val="32"/>
          <w:szCs w:val="32"/>
          <w:lang w:val="en-US" w:eastAsia="zh-CN"/>
        </w:rPr>
        <w:t>要求</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、若项目的性质、规模、地点、工艺或者防治污染的措施发生重大变动，应重新报批项目的环境影响评价文件。</w:t>
      </w:r>
    </w:p>
    <w:p>
      <w:pPr>
        <w:keepNext w:val="0"/>
        <w:keepLines w:val="0"/>
        <w:pageBreakBefore w:val="0"/>
        <w:widowControl w:val="0"/>
        <w:kinsoku/>
        <w:wordWrap/>
        <w:overflowPunct/>
        <w:topLinePunct w:val="0"/>
        <w:bidi w:val="0"/>
        <w:adjustRightInd/>
        <w:snapToGrid/>
        <w:spacing w:line="580" w:lineRule="exact"/>
        <w:textAlignment w:val="auto"/>
        <w:rPr>
          <w:rFonts w:hint="eastAsia" w:ascii="仿宋_GB2312" w:hAnsi="仿宋_GB2312" w:eastAsia="仿宋_GB2312" w:cs="仿宋_GB2312"/>
        </w:rPr>
      </w:pPr>
    </w:p>
    <w:p>
      <w:pPr>
        <w:pStyle w:val="2"/>
        <w:keepNext w:val="0"/>
        <w:keepLines w:val="0"/>
        <w:pageBreakBefore w:val="0"/>
        <w:kinsoku/>
        <w:wordWrap/>
        <w:overflowPunct/>
        <w:topLinePunct w:val="0"/>
        <w:bidi w:val="0"/>
        <w:snapToGrid/>
        <w:spacing w:line="580" w:lineRule="exact"/>
        <w:textAlignment w:val="auto"/>
        <w:rPr>
          <w:rFonts w:hint="eastAsia" w:ascii="仿宋_GB2312" w:hAnsi="仿宋_GB2312" w:eastAsia="仿宋_GB2312" w:cs="仿宋_GB2312"/>
        </w:rPr>
      </w:pPr>
    </w:p>
    <w:p>
      <w:pPr>
        <w:pStyle w:val="13"/>
        <w:keepNext w:val="0"/>
        <w:keepLines w:val="0"/>
        <w:pageBreakBefore w:val="0"/>
        <w:widowControl w:val="0"/>
        <w:kinsoku/>
        <w:wordWrap/>
        <w:overflowPunct/>
        <w:topLinePunct w:val="0"/>
        <w:autoSpaceDE/>
        <w:autoSpaceDN/>
        <w:bidi w:val="0"/>
        <w:adjustRightInd/>
        <w:snapToGrid/>
        <w:spacing w:line="580" w:lineRule="exact"/>
        <w:ind w:left="0" w:leftChars="0" w:right="629" w:rightChars="0" w:firstLine="0" w:firstLineChars="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adjustRightInd/>
        <w:snapToGrid/>
        <w:spacing w:line="580" w:lineRule="exact"/>
        <w:ind w:left="4469" w:leftChars="2128"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2022年5月23日</w:t>
      </w:r>
    </w:p>
    <w:sectPr>
      <w:footerReference r:id="rId3"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4"/>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7C7469"/>
    <w:multiLevelType w:val="singleLevel"/>
    <w:tmpl w:val="617C7469"/>
    <w:lvl w:ilvl="0" w:tentative="0">
      <w:start w:val="1"/>
      <w:numFmt w:val="bullet"/>
      <w:pStyle w:val="5"/>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NWE2YjU2NWMzMDFlZDI0M2JjZTQ5NjZmNGEzNDQifQ=="/>
  </w:docVars>
  <w:rsids>
    <w:rsidRoot w:val="00766A7D"/>
    <w:rsid w:val="0005552C"/>
    <w:rsid w:val="000F2D8C"/>
    <w:rsid w:val="000F3A7F"/>
    <w:rsid w:val="0014250C"/>
    <w:rsid w:val="001E0451"/>
    <w:rsid w:val="001E4738"/>
    <w:rsid w:val="0022269B"/>
    <w:rsid w:val="00222930"/>
    <w:rsid w:val="00227B17"/>
    <w:rsid w:val="0027790E"/>
    <w:rsid w:val="003B68A5"/>
    <w:rsid w:val="00401210"/>
    <w:rsid w:val="00422F2D"/>
    <w:rsid w:val="004C5BAF"/>
    <w:rsid w:val="00543BD7"/>
    <w:rsid w:val="005D36FB"/>
    <w:rsid w:val="00634111"/>
    <w:rsid w:val="006E225C"/>
    <w:rsid w:val="006F5D6F"/>
    <w:rsid w:val="00766A7D"/>
    <w:rsid w:val="00773639"/>
    <w:rsid w:val="00793BD3"/>
    <w:rsid w:val="007F2985"/>
    <w:rsid w:val="007F2AE6"/>
    <w:rsid w:val="007F434C"/>
    <w:rsid w:val="00823816"/>
    <w:rsid w:val="00891538"/>
    <w:rsid w:val="008E341F"/>
    <w:rsid w:val="00903D3B"/>
    <w:rsid w:val="0096014C"/>
    <w:rsid w:val="009671ED"/>
    <w:rsid w:val="009E5FFD"/>
    <w:rsid w:val="00A87A6E"/>
    <w:rsid w:val="00B67E72"/>
    <w:rsid w:val="00BB5ECF"/>
    <w:rsid w:val="00BE55BA"/>
    <w:rsid w:val="00C00CBA"/>
    <w:rsid w:val="00CA18AB"/>
    <w:rsid w:val="00CD7503"/>
    <w:rsid w:val="00D85488"/>
    <w:rsid w:val="00DB2F5A"/>
    <w:rsid w:val="00DF0E2E"/>
    <w:rsid w:val="00E64860"/>
    <w:rsid w:val="00EE15E9"/>
    <w:rsid w:val="00EE5BFF"/>
    <w:rsid w:val="00F85EA1"/>
    <w:rsid w:val="00FB008A"/>
    <w:rsid w:val="022C47A7"/>
    <w:rsid w:val="043A1A7E"/>
    <w:rsid w:val="09077E78"/>
    <w:rsid w:val="0A13354D"/>
    <w:rsid w:val="0B187C8B"/>
    <w:rsid w:val="0EE7640C"/>
    <w:rsid w:val="10C65629"/>
    <w:rsid w:val="13E8376E"/>
    <w:rsid w:val="1DF77A3F"/>
    <w:rsid w:val="1E9E08B2"/>
    <w:rsid w:val="25776CA5"/>
    <w:rsid w:val="28E40D21"/>
    <w:rsid w:val="2D090BF7"/>
    <w:rsid w:val="3BEE10C4"/>
    <w:rsid w:val="3E847D70"/>
    <w:rsid w:val="45986459"/>
    <w:rsid w:val="461116BA"/>
    <w:rsid w:val="50A1686B"/>
    <w:rsid w:val="513B5092"/>
    <w:rsid w:val="526B2160"/>
    <w:rsid w:val="581466B3"/>
    <w:rsid w:val="5CDE636C"/>
    <w:rsid w:val="68360B26"/>
    <w:rsid w:val="6AFB3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qFormat="1" w:unhideWhenUsed="0" w:uiPriority="0" w:semiHidden="0"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3"/>
    <w:next w:val="4"/>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4">
    <w:name w:val="List"/>
    <w:basedOn w:val="1"/>
    <w:next w:val="5"/>
    <w:unhideWhenUsed/>
    <w:qFormat/>
    <w:uiPriority w:val="0"/>
    <w:pPr>
      <w:jc w:val="center"/>
    </w:pPr>
    <w:rPr>
      <w:sz w:val="24"/>
      <w:szCs w:val="28"/>
    </w:rPr>
  </w:style>
  <w:style w:type="paragraph" w:styleId="5">
    <w:name w:val="List Bullet 2"/>
    <w:basedOn w:val="1"/>
    <w:next w:val="6"/>
    <w:semiHidden/>
    <w:unhideWhenUsed/>
    <w:qFormat/>
    <w:uiPriority w:val="99"/>
    <w:pPr>
      <w:numPr>
        <w:ilvl w:val="0"/>
        <w:numId w:val="1"/>
      </w:numPr>
    </w:pPr>
  </w:style>
  <w:style w:type="paragraph" w:customStyle="1" w:styleId="6">
    <w:name w:val="xl70"/>
    <w:basedOn w:val="1"/>
    <w:next w:val="7"/>
    <w:qFormat/>
    <w:uiPriority w:val="0"/>
    <w:pPr>
      <w:widowControl/>
      <w:spacing w:before="280" w:after="280" w:line="240" w:lineRule="auto"/>
      <w:ind w:firstLine="0"/>
    </w:pPr>
    <w:rPr>
      <w:rFonts w:ascii="宋体" w:hAnsi="Times New Roman" w:eastAsia="宋体" w:cs="Times New Roman"/>
    </w:rPr>
  </w:style>
  <w:style w:type="paragraph" w:customStyle="1" w:styleId="7">
    <w:name w:val="正文缩进1"/>
    <w:basedOn w:val="1"/>
    <w:next w:val="8"/>
    <w:qFormat/>
    <w:uiPriority w:val="0"/>
    <w:pPr>
      <w:ind w:firstLine="420" w:firstLineChars="200"/>
    </w:pPr>
    <w:rPr>
      <w:rFonts w:ascii="Times New Roman" w:hAnsi="Times New Roman" w:eastAsia="宋体" w:cs="Times New Roman"/>
      <w:sz w:val="24"/>
      <w:szCs w:val="24"/>
    </w:rPr>
  </w:style>
  <w:style w:type="paragraph" w:customStyle="1" w:styleId="8">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styleId="9">
    <w:name w:val="E-mail Signature"/>
    <w:basedOn w:val="1"/>
    <w:next w:val="10"/>
    <w:qFormat/>
    <w:uiPriority w:val="0"/>
    <w:pPr>
      <w:spacing w:line="460" w:lineRule="exact"/>
      <w:ind w:firstLine="200"/>
    </w:pPr>
    <w:rPr>
      <w:rFonts w:ascii="Times New Roman" w:hAnsi="Times New Roman" w:eastAsia="宋体" w:cs="Times New Roman"/>
    </w:rPr>
  </w:style>
  <w:style w:type="paragraph" w:customStyle="1" w:styleId="10">
    <w:name w:val="文章"/>
    <w:basedOn w:val="11"/>
    <w:next w:val="4"/>
    <w:qFormat/>
    <w:uiPriority w:val="0"/>
    <w:pPr>
      <w:widowControl/>
      <w:spacing w:line="240" w:lineRule="auto"/>
      <w:ind w:firstLine="480"/>
      <w:jc w:val="center"/>
    </w:pPr>
    <w:rPr>
      <w:rFonts w:ascii="Times New Roman" w:hAnsi="Times New Roman" w:eastAsia="宋体" w:cs="Times New Roman"/>
      <w:sz w:val="26"/>
    </w:rPr>
  </w:style>
  <w:style w:type="paragraph" w:styleId="11">
    <w:name w:val="Body Text Indent"/>
    <w:basedOn w:val="1"/>
    <w:qFormat/>
    <w:uiPriority w:val="0"/>
    <w:pPr>
      <w:ind w:left="720"/>
    </w:pPr>
    <w:rPr>
      <w:sz w:val="28"/>
    </w:rPr>
  </w:style>
  <w:style w:type="paragraph" w:styleId="12">
    <w:name w:val="Normal Indent"/>
    <w:basedOn w:val="1"/>
    <w:qFormat/>
    <w:uiPriority w:val="0"/>
    <w:pPr>
      <w:keepNext w:val="0"/>
      <w:keepLines w:val="0"/>
      <w:widowControl/>
      <w:suppressLineNumbers w:val="0"/>
      <w:spacing w:before="0" w:beforeAutospacing="0" w:after="0" w:afterAutospacing="0"/>
      <w:ind w:left="0" w:right="0" w:firstLine="420"/>
      <w:jc w:val="left"/>
    </w:pPr>
    <w:rPr>
      <w:rFonts w:hint="default" w:ascii="Calibri" w:hAnsi="Calibri" w:eastAsia="宋体" w:cs="Times New Roman"/>
      <w:kern w:val="0"/>
      <w:sz w:val="21"/>
      <w:szCs w:val="22"/>
      <w:lang w:val="en-US" w:eastAsia="zh-CN" w:bidi="ar"/>
    </w:rPr>
  </w:style>
  <w:style w:type="paragraph" w:styleId="13">
    <w:name w:val="Body Text"/>
    <w:basedOn w:val="1"/>
    <w:qFormat/>
    <w:uiPriority w:val="0"/>
    <w:pPr>
      <w:spacing w:line="0" w:lineRule="atLeast"/>
    </w:pPr>
    <w:rPr>
      <w:rFonts w:eastAsia="小标宋"/>
      <w:sz w:val="44"/>
    </w:rPr>
  </w:style>
  <w:style w:type="paragraph" w:styleId="14">
    <w:name w:val="footer"/>
    <w:basedOn w:val="1"/>
    <w:semiHidden/>
    <w:unhideWhenUsed/>
    <w:uiPriority w:val="99"/>
    <w:pPr>
      <w:tabs>
        <w:tab w:val="center" w:pos="4153"/>
        <w:tab w:val="right" w:pos="8306"/>
      </w:tabs>
      <w:snapToGrid w:val="0"/>
      <w:jc w:val="left"/>
    </w:pPr>
    <w:rPr>
      <w:sz w:val="18"/>
    </w:rPr>
  </w:style>
  <w:style w:type="paragraph" w:styleId="15">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2"/>
    <w:basedOn w:val="1"/>
    <w:next w:val="9"/>
    <w:qFormat/>
    <w:uiPriority w:val="0"/>
    <w:pPr>
      <w:ind w:left="210"/>
      <w:jc w:val="left"/>
    </w:pPr>
    <w:rPr>
      <w:rFonts w:ascii="Calibri" w:hAnsi="Calibri" w:eastAsia="宋体" w:cs="Calibri"/>
      <w:smallCaps/>
      <w:sz w:val="20"/>
    </w:rPr>
  </w:style>
  <w:style w:type="paragraph" w:styleId="17">
    <w:name w:val="Body Text First Indent 2"/>
    <w:basedOn w:val="11"/>
    <w:qFormat/>
    <w:uiPriority w:val="0"/>
    <w:pPr>
      <w:ind w:firstLine="420" w:firstLineChars="200"/>
    </w:pPr>
  </w:style>
  <w:style w:type="table" w:styleId="19">
    <w:name w:val="Table Grid"/>
    <w:basedOn w:val="1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21">
    <w:name w:val="样式35"/>
    <w:basedOn w:val="22"/>
    <w:next w:val="23"/>
    <w:qFormat/>
    <w:uiPriority w:val="0"/>
    <w:pPr>
      <w:tabs>
        <w:tab w:val="left" w:pos="0"/>
        <w:tab w:val="left" w:pos="360"/>
        <w:tab w:val="left" w:pos="540"/>
        <w:tab w:val="left" w:pos="567"/>
      </w:tabs>
      <w:spacing w:line="312" w:lineRule="auto"/>
      <w:ind w:firstLine="567"/>
    </w:pPr>
    <w:rPr>
      <w:rFonts w:ascii="宋体" w:hAnsi="Times New Roman" w:eastAsia="宋体" w:cs="Times New Roman"/>
      <w:sz w:val="28"/>
    </w:rPr>
  </w:style>
  <w:style w:type="paragraph" w:customStyle="1" w:styleId="22">
    <w:name w:val="表 内容"/>
    <w:basedOn w:val="1"/>
    <w:qFormat/>
    <w:uiPriority w:val="0"/>
    <w:pPr>
      <w:adjustRightInd w:val="0"/>
      <w:snapToGrid w:val="0"/>
      <w:spacing w:beforeLines="15" w:afterLines="15"/>
      <w:jc w:val="center"/>
    </w:pPr>
    <w:rPr>
      <w:sz w:val="21"/>
      <w:szCs w:val="21"/>
    </w:rPr>
  </w:style>
  <w:style w:type="paragraph" w:customStyle="1" w:styleId="23">
    <w:name w:val="font6"/>
    <w:basedOn w:val="1"/>
    <w:next w:val="16"/>
    <w:qFormat/>
    <w:uiPriority w:val="0"/>
    <w:pPr>
      <w:widowControl/>
      <w:spacing w:before="280" w:after="280" w:line="240" w:lineRule="auto"/>
      <w:ind w:firstLine="0"/>
    </w:pPr>
    <w:rPr>
      <w:rFonts w:ascii="Times New Roman" w:hAnsi="Times New Roman" w:eastAsia="宋体" w:cs="Times New Roman"/>
      <w:sz w:val="21"/>
    </w:rPr>
  </w:style>
  <w:style w:type="paragraph" w:customStyle="1" w:styleId="24">
    <w:name w:val="样式26"/>
    <w:basedOn w:val="25"/>
    <w:qFormat/>
    <w:uiPriority w:val="0"/>
    <w:pPr>
      <w:tabs>
        <w:tab w:val="left" w:pos="0"/>
        <w:tab w:val="left" w:pos="360"/>
        <w:tab w:val="left" w:pos="540"/>
        <w:tab w:val="left" w:pos="567"/>
      </w:tabs>
    </w:pPr>
  </w:style>
  <w:style w:type="paragraph" w:customStyle="1" w:styleId="25">
    <w:name w:val="样式21"/>
    <w:basedOn w:val="26"/>
    <w:qFormat/>
    <w:uiPriority w:val="0"/>
    <w:pPr>
      <w:tabs>
        <w:tab w:val="left" w:pos="360"/>
        <w:tab w:val="left" w:pos="567"/>
      </w:tabs>
      <w:spacing w:before="120" w:beforeLines="0" w:after="120" w:afterLines="0"/>
      <w:ind w:hanging="992"/>
    </w:pPr>
    <w:rPr>
      <w:kern w:val="0"/>
    </w:rPr>
  </w:style>
  <w:style w:type="paragraph" w:customStyle="1" w:styleId="26">
    <w:name w:val="样式5"/>
    <w:basedOn w:val="27"/>
    <w:qFormat/>
    <w:uiPriority w:val="0"/>
    <w:pPr>
      <w:tabs>
        <w:tab w:val="left" w:pos="360"/>
        <w:tab w:val="left" w:pos="567"/>
      </w:tabs>
      <w:ind w:hanging="567" w:firstLineChars="0"/>
    </w:pPr>
    <w:rPr>
      <w:rFonts w:cs="Times New Roman"/>
    </w:rPr>
  </w:style>
  <w:style w:type="paragraph" w:customStyle="1" w:styleId="27">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28">
    <w:name w:val="样式 方正小标宋简体 小二 居中 行距: 固定值 22 磅"/>
    <w:basedOn w:val="1"/>
    <w:qFormat/>
    <w:uiPriority w:val="0"/>
    <w:pPr>
      <w:jc w:val="center"/>
    </w:pPr>
    <w:rPr>
      <w:rFonts w:ascii="方正小标宋简体" w:eastAsia="方正小标宋简体" w:cs="宋体"/>
      <w:sz w:val="36"/>
      <w:szCs w:val="20"/>
    </w:rPr>
  </w:style>
  <w:style w:type="paragraph" w:customStyle="1" w:styleId="29">
    <w:name w:val="报告表正文"/>
    <w:basedOn w:val="1"/>
    <w:qFormat/>
    <w:uiPriority w:val="0"/>
    <w:pPr>
      <w:widowControl/>
      <w:spacing w:line="360" w:lineRule="auto"/>
      <w:ind w:firstLine="200" w:firstLineChars="200"/>
    </w:pPr>
    <w:rPr>
      <w:color w:val="FF00FF"/>
      <w:sz w:val="24"/>
      <w:szCs w:val="24"/>
    </w:rPr>
  </w:style>
  <w:style w:type="paragraph" w:customStyle="1" w:styleId="30">
    <w:name w:val="zxx表格"/>
    <w:basedOn w:val="1"/>
    <w:qFormat/>
    <w:uiPriority w:val="0"/>
    <w:pPr>
      <w:spacing w:line="240" w:lineRule="auto"/>
      <w:jc w:val="center"/>
    </w:pPr>
    <w:rPr>
      <w:rFonts w:ascii="Times New Roman" w:hAnsi="Times New Roman"/>
    </w:rPr>
  </w:style>
  <w:style w:type="paragraph" w:customStyle="1" w:styleId="31">
    <w:name w:val="表内"/>
    <w:qFormat/>
    <w:uiPriority w:val="0"/>
    <w:pPr>
      <w:adjustRightInd w:val="0"/>
      <w:snapToGrid w:val="0"/>
      <w:ind w:left="-105" w:leftChars="-50" w:rightChars="-50"/>
      <w:jc w:val="center"/>
    </w:pPr>
    <w:rPr>
      <w:rFonts w:ascii="Times New Roman" w:hAnsi="Times New Roman" w:eastAsia="宋体" w:cs="Times New Roman"/>
      <w:sz w:val="21"/>
      <w:lang w:val="en-US" w:eastAsia="zh-CN" w:bidi="ar-SA"/>
    </w:rPr>
  </w:style>
  <w:style w:type="paragraph" w:styleId="32">
    <w:name w:val="No Spacing"/>
    <w:qFormat/>
    <w:uiPriority w:val="0"/>
    <w:pPr>
      <w:adjustRightInd w:val="0"/>
      <w:snapToGrid w:val="0"/>
    </w:pPr>
    <w:rPr>
      <w:rFonts w:ascii="Tahoma" w:hAnsi="Tahoma" w:eastAsia="微软雅黑" w:cs="Times New Roman"/>
      <w:sz w:val="2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1568</Words>
  <Characters>1679</Characters>
  <Lines>4</Lines>
  <Paragraphs>1</Paragraphs>
  <TotalTime>1</TotalTime>
  <ScaleCrop>false</ScaleCrop>
  <LinksUpToDate>false</LinksUpToDate>
  <CharactersWithSpaces>1706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2019-07-04T02:06:00Z</dcterms:created>
  <dc:creator>332394983@qq.com</dc:creator>
  <cp:lastModifiedBy>sghnc</cp:lastModifiedBy>
  <cp:lastPrinted>2022-05-25T07:29:47Z</cp:lastPrinted>
  <dcterms:modified xsi:type="dcterms:W3CDTF">2022-05-25T09:13:08Z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B9C98529D76248FDB7C85742E71A0680</vt:lpwstr>
  </property>
</Properties>
</file>