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sz w:val="44"/>
          <w:szCs w:val="44"/>
        </w:rPr>
        <w:t>湛江市霞山区食品药品监督管理局行政处罚信息公开表（</w:t>
      </w:r>
      <w:r>
        <w:rPr>
          <w:rFonts w:ascii="黑体" w:eastAsia="黑体"/>
          <w:sz w:val="44"/>
          <w:szCs w:val="44"/>
        </w:rPr>
        <w:t>2016</w:t>
      </w:r>
      <w:r>
        <w:rPr>
          <w:rFonts w:hint="eastAsia" w:ascii="黑体" w:eastAsia="黑体"/>
          <w:sz w:val="44"/>
          <w:szCs w:val="44"/>
        </w:rPr>
        <w:t>年</w:t>
      </w:r>
      <w:r>
        <w:rPr>
          <w:rFonts w:ascii="黑体" w:eastAsia="黑体"/>
          <w:sz w:val="44"/>
          <w:szCs w:val="44"/>
        </w:rPr>
        <w:t>11</w:t>
      </w:r>
      <w:r>
        <w:rPr>
          <w:rFonts w:hint="eastAsia" w:ascii="黑体" w:eastAsia="黑体"/>
          <w:sz w:val="44"/>
          <w:szCs w:val="44"/>
        </w:rPr>
        <w:t>月）</w:t>
      </w:r>
    </w:p>
    <w:p/>
    <w:tbl>
      <w:tblPr>
        <w:tblStyle w:val="6"/>
        <w:tblW w:w="1465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27"/>
        <w:gridCol w:w="1575"/>
        <w:gridCol w:w="1520"/>
        <w:gridCol w:w="1323"/>
        <w:gridCol w:w="1208"/>
        <w:gridCol w:w="1507"/>
        <w:gridCol w:w="1800"/>
        <w:gridCol w:w="1320"/>
        <w:gridCol w:w="147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exact"/>
        </w:trPr>
        <w:tc>
          <w:tcPr>
            <w:tcW w:w="570" w:type="dxa"/>
            <w:vAlign w:val="center"/>
          </w:tcPr>
          <w:p>
            <w:pPr>
              <w:spacing w:line="500" w:lineRule="exact"/>
              <w:jc w:val="center"/>
              <w:rPr>
                <w:b/>
                <w:bCs/>
                <w:sz w:val="24"/>
              </w:rPr>
            </w:pPr>
            <w:r>
              <w:rPr>
                <w:rFonts w:hint="eastAsia"/>
                <w:b/>
                <w:bCs/>
                <w:sz w:val="24"/>
              </w:rPr>
              <w:t>序</w:t>
            </w:r>
          </w:p>
          <w:p>
            <w:pPr>
              <w:spacing w:line="500" w:lineRule="exact"/>
              <w:jc w:val="center"/>
              <w:rPr>
                <w:b/>
                <w:bCs/>
                <w:sz w:val="24"/>
              </w:rPr>
            </w:pPr>
            <w:r>
              <w:rPr>
                <w:rFonts w:hint="eastAsia"/>
                <w:b/>
                <w:bCs/>
                <w:sz w:val="24"/>
              </w:rPr>
              <w:t>号</w:t>
            </w:r>
          </w:p>
        </w:tc>
        <w:tc>
          <w:tcPr>
            <w:tcW w:w="1627" w:type="dxa"/>
            <w:vAlign w:val="center"/>
          </w:tcPr>
          <w:p>
            <w:pPr>
              <w:spacing w:line="500" w:lineRule="exact"/>
              <w:jc w:val="center"/>
              <w:rPr>
                <w:b/>
                <w:bCs/>
                <w:sz w:val="24"/>
              </w:rPr>
            </w:pPr>
            <w:r>
              <w:rPr>
                <w:rFonts w:hint="eastAsia"/>
                <w:b/>
                <w:bCs/>
                <w:sz w:val="24"/>
              </w:rPr>
              <w:t>行政处罚决定文号</w:t>
            </w:r>
          </w:p>
        </w:tc>
        <w:tc>
          <w:tcPr>
            <w:tcW w:w="1575" w:type="dxa"/>
            <w:vAlign w:val="center"/>
          </w:tcPr>
          <w:p>
            <w:pPr>
              <w:spacing w:line="500" w:lineRule="exact"/>
              <w:jc w:val="center"/>
              <w:rPr>
                <w:b/>
                <w:bCs/>
                <w:sz w:val="24"/>
              </w:rPr>
            </w:pPr>
            <w:r>
              <w:rPr>
                <w:rFonts w:hint="eastAsia"/>
                <w:b/>
                <w:bCs/>
                <w:sz w:val="24"/>
              </w:rPr>
              <w:t>案件</w:t>
            </w:r>
          </w:p>
          <w:p>
            <w:pPr>
              <w:spacing w:line="500" w:lineRule="exact"/>
              <w:jc w:val="center"/>
              <w:rPr>
                <w:b/>
                <w:bCs/>
                <w:sz w:val="24"/>
              </w:rPr>
            </w:pPr>
            <w:r>
              <w:rPr>
                <w:rFonts w:hint="eastAsia"/>
                <w:b/>
                <w:bCs/>
                <w:sz w:val="24"/>
              </w:rPr>
              <w:t>名称</w:t>
            </w:r>
          </w:p>
        </w:tc>
        <w:tc>
          <w:tcPr>
            <w:tcW w:w="1520" w:type="dxa"/>
            <w:vAlign w:val="center"/>
          </w:tcPr>
          <w:p>
            <w:pPr>
              <w:spacing w:line="500" w:lineRule="exact"/>
              <w:jc w:val="center"/>
              <w:rPr>
                <w:b/>
                <w:bCs/>
                <w:sz w:val="24"/>
              </w:rPr>
            </w:pPr>
            <w:r>
              <w:rPr>
                <w:rFonts w:hint="eastAsia"/>
                <w:b/>
                <w:bCs/>
                <w:sz w:val="24"/>
              </w:rPr>
              <w:t>违法企业名称或违法自然人姓名</w:t>
            </w:r>
          </w:p>
        </w:tc>
        <w:tc>
          <w:tcPr>
            <w:tcW w:w="1323" w:type="dxa"/>
            <w:vAlign w:val="center"/>
          </w:tcPr>
          <w:p>
            <w:pPr>
              <w:spacing w:line="500" w:lineRule="exact"/>
              <w:jc w:val="center"/>
              <w:rPr>
                <w:b/>
                <w:bCs/>
                <w:sz w:val="24"/>
              </w:rPr>
            </w:pPr>
            <w:r>
              <w:rPr>
                <w:rFonts w:hint="eastAsia"/>
                <w:b/>
                <w:bCs/>
                <w:sz w:val="24"/>
              </w:rPr>
              <w:t>违法企业组织机构代码</w:t>
            </w:r>
          </w:p>
        </w:tc>
        <w:tc>
          <w:tcPr>
            <w:tcW w:w="1208" w:type="dxa"/>
            <w:vAlign w:val="center"/>
          </w:tcPr>
          <w:p>
            <w:pPr>
              <w:spacing w:line="500" w:lineRule="exact"/>
              <w:jc w:val="center"/>
              <w:rPr>
                <w:b/>
                <w:bCs/>
                <w:sz w:val="24"/>
              </w:rPr>
            </w:pPr>
            <w:r>
              <w:rPr>
                <w:rFonts w:hint="eastAsia"/>
                <w:b/>
                <w:bCs/>
                <w:sz w:val="24"/>
              </w:rPr>
              <w:t>法定代表人姓名</w:t>
            </w:r>
          </w:p>
        </w:tc>
        <w:tc>
          <w:tcPr>
            <w:tcW w:w="1507" w:type="dxa"/>
            <w:vAlign w:val="center"/>
          </w:tcPr>
          <w:p>
            <w:pPr>
              <w:spacing w:line="500" w:lineRule="exact"/>
              <w:jc w:val="center"/>
              <w:rPr>
                <w:b/>
                <w:bCs/>
                <w:sz w:val="24"/>
              </w:rPr>
            </w:pPr>
            <w:r>
              <w:rPr>
                <w:rFonts w:hint="eastAsia"/>
                <w:b/>
                <w:bCs/>
                <w:sz w:val="24"/>
              </w:rPr>
              <w:t>主要违法事实</w:t>
            </w:r>
          </w:p>
        </w:tc>
        <w:tc>
          <w:tcPr>
            <w:tcW w:w="1800" w:type="dxa"/>
            <w:vAlign w:val="center"/>
          </w:tcPr>
          <w:p>
            <w:pPr>
              <w:spacing w:line="500" w:lineRule="exact"/>
              <w:jc w:val="center"/>
              <w:rPr>
                <w:b/>
                <w:bCs/>
                <w:sz w:val="24"/>
              </w:rPr>
            </w:pPr>
            <w:r>
              <w:rPr>
                <w:rFonts w:hint="eastAsia"/>
                <w:b/>
                <w:bCs/>
                <w:sz w:val="24"/>
              </w:rPr>
              <w:t>行政处罚的种类和依据</w:t>
            </w:r>
          </w:p>
        </w:tc>
        <w:tc>
          <w:tcPr>
            <w:tcW w:w="1320" w:type="dxa"/>
            <w:vAlign w:val="center"/>
          </w:tcPr>
          <w:p>
            <w:pPr>
              <w:spacing w:line="500" w:lineRule="exact"/>
              <w:jc w:val="center"/>
              <w:rPr>
                <w:b/>
                <w:bCs/>
                <w:sz w:val="24"/>
              </w:rPr>
            </w:pPr>
            <w:r>
              <w:rPr>
                <w:rFonts w:hint="eastAsia"/>
                <w:b/>
                <w:bCs/>
                <w:sz w:val="24"/>
              </w:rPr>
              <w:t>行政处罚的履行方式</w:t>
            </w:r>
          </w:p>
        </w:tc>
        <w:tc>
          <w:tcPr>
            <w:tcW w:w="1478" w:type="dxa"/>
            <w:vAlign w:val="center"/>
          </w:tcPr>
          <w:p>
            <w:pPr>
              <w:spacing w:line="500" w:lineRule="exact"/>
              <w:jc w:val="center"/>
              <w:rPr>
                <w:b/>
                <w:bCs/>
                <w:sz w:val="24"/>
              </w:rPr>
            </w:pPr>
            <w:r>
              <w:rPr>
                <w:rFonts w:hint="eastAsia"/>
                <w:b/>
                <w:bCs/>
                <w:sz w:val="24"/>
              </w:rPr>
              <w:t>作出处罚的机关名称和日期</w:t>
            </w:r>
          </w:p>
        </w:tc>
        <w:tc>
          <w:tcPr>
            <w:tcW w:w="724" w:type="dxa"/>
            <w:vAlign w:val="center"/>
          </w:tcPr>
          <w:p>
            <w:pPr>
              <w:spacing w:line="500" w:lineRule="exact"/>
              <w:jc w:val="center"/>
              <w:rPr>
                <w:b/>
                <w:bCs/>
                <w:sz w:val="24"/>
              </w:rPr>
            </w:pPr>
            <w:r>
              <w:rPr>
                <w:rFonts w:hint="eastAsia"/>
                <w:b/>
                <w:bCs/>
                <w:sz w:val="24"/>
              </w:rPr>
              <w:t>备</w:t>
            </w:r>
          </w:p>
          <w:p>
            <w:pPr>
              <w:spacing w:line="500" w:lineRule="exact"/>
              <w:jc w:val="center"/>
              <w:rPr>
                <w:b/>
                <w:bCs/>
                <w:sz w:val="24"/>
              </w:rPr>
            </w:pPr>
            <w:r>
              <w:rPr>
                <w:rFonts w:hint="eastAsia"/>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627" w:type="dxa"/>
            <w:shd w:val="clear" w:color="auto" w:fill="FFFFFF"/>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湛霞食药监药罚[2016]026号</w:t>
            </w:r>
          </w:p>
          <w:p>
            <w:pPr>
              <w:widowControl/>
              <w:jc w:val="center"/>
              <w:textAlignment w:val="center"/>
              <w:rPr>
                <w:rFonts w:hint="eastAsia" w:asciiTheme="minorEastAsia" w:hAnsiTheme="minorEastAsia" w:eastAsiaTheme="minorEastAsia" w:cstheme="minorEastAsia"/>
                <w:color w:val="000000"/>
                <w:kern w:val="0"/>
                <w:sz w:val="21"/>
                <w:szCs w:val="21"/>
              </w:rPr>
            </w:pPr>
          </w:p>
        </w:tc>
        <w:tc>
          <w:tcPr>
            <w:tcW w:w="1575"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湛江市霞山御春堂大药房销售劣药案</w:t>
            </w:r>
          </w:p>
        </w:tc>
        <w:tc>
          <w:tcPr>
            <w:tcW w:w="1520"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湛江市霞山</w:t>
            </w:r>
            <w:r>
              <w:rPr>
                <w:rFonts w:hint="eastAsia" w:asciiTheme="minorEastAsia" w:hAnsiTheme="minorEastAsia" w:eastAsiaTheme="minorEastAsia" w:cstheme="minorEastAsia"/>
                <w:color w:val="000000"/>
                <w:sz w:val="21"/>
                <w:szCs w:val="21"/>
              </w:rPr>
              <w:t>御春堂大药房</w:t>
            </w:r>
          </w:p>
        </w:tc>
        <w:tc>
          <w:tcPr>
            <w:tcW w:w="1323"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1208"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林国伟</w:t>
            </w:r>
          </w:p>
        </w:tc>
        <w:tc>
          <w:tcPr>
            <w:tcW w:w="150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抽检“牡丹皮”不合格</w:t>
            </w:r>
          </w:p>
        </w:tc>
        <w:tc>
          <w:tcPr>
            <w:tcW w:w="1800"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依据《中华人民共和国药品管理法》第七十四条进行处罚，违反了《中华人民共和国药品管理法》第四十九条第一款及第三款第（三）项的规定</w:t>
            </w:r>
          </w:p>
          <w:p>
            <w:pPr>
              <w:widowControl/>
              <w:jc w:val="center"/>
              <w:textAlignment w:val="center"/>
              <w:rPr>
                <w:rFonts w:hint="eastAsia" w:asciiTheme="minorEastAsia" w:hAnsiTheme="minorEastAsia" w:eastAsiaTheme="minorEastAsia" w:cstheme="minorEastAsia"/>
                <w:color w:val="000000"/>
                <w:kern w:val="0"/>
                <w:sz w:val="21"/>
                <w:szCs w:val="21"/>
              </w:rPr>
            </w:pPr>
          </w:p>
        </w:tc>
        <w:tc>
          <w:tcPr>
            <w:tcW w:w="1320"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自动履行</w:t>
            </w:r>
          </w:p>
          <w:p>
            <w:pPr>
              <w:widowControl/>
              <w:jc w:val="center"/>
              <w:textAlignment w:val="center"/>
              <w:rPr>
                <w:rFonts w:hint="eastAsia" w:asciiTheme="minorEastAsia" w:hAnsiTheme="minorEastAsia" w:eastAsiaTheme="minorEastAsia" w:cstheme="minorEastAsia"/>
                <w:color w:val="000000"/>
                <w:kern w:val="0"/>
                <w:sz w:val="21"/>
                <w:szCs w:val="21"/>
              </w:rPr>
            </w:pPr>
          </w:p>
        </w:tc>
        <w:tc>
          <w:tcPr>
            <w:tcW w:w="1478"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湛江市霞山区食品药品监督管理局,2016年11月</w:t>
            </w:r>
          </w:p>
        </w:tc>
        <w:tc>
          <w:tcPr>
            <w:tcW w:w="724" w:type="dxa"/>
            <w:vAlign w:val="center"/>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[2016]027</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湛江市霞山友谊路黄府大药房销售劣药案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湛江市霞山区友谊路黄府大药房</w:t>
            </w:r>
          </w:p>
        </w:tc>
        <w:tc>
          <w:tcPr>
            <w:tcW w:w="1323"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黄丽坚</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抽检“地肤子”不合格</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依据《中华人民共和国药品管理法》第七十四条进行处罚，违反了《中华人民共和国药品管理法》第四十九条第一款及第三款第（三）项的规定</w:t>
            </w:r>
          </w:p>
          <w:p>
            <w:pPr>
              <w:widowControl/>
              <w:jc w:val="center"/>
              <w:textAlignment w:val="center"/>
              <w:rPr>
                <w:rFonts w:ascii="宋体" w:cs="宋体"/>
                <w:color w:val="000000"/>
                <w:kern w:val="0"/>
                <w:szCs w:val="21"/>
              </w:rPr>
            </w:pP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[2016]028</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湛江市霞山逸仙路黄府大药房销售劣药案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湛江市霞山逸仙路黄府大药房</w:t>
            </w:r>
          </w:p>
        </w:tc>
        <w:tc>
          <w:tcPr>
            <w:tcW w:w="1323"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黄志文</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抽检“菟丝子”不合格</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依据《中华人民共和国药品管理法》第七十四条进行处罚，违反了《中华人民共和国药品管理法》第四十九条第一款及第三款第（三）项的规定</w:t>
            </w:r>
          </w:p>
          <w:p>
            <w:pPr>
              <w:widowControl/>
              <w:jc w:val="center"/>
              <w:textAlignment w:val="center"/>
              <w:rPr>
                <w:rFonts w:ascii="宋体" w:cs="宋体"/>
                <w:color w:val="000000"/>
                <w:kern w:val="0"/>
                <w:szCs w:val="21"/>
              </w:rPr>
            </w:pP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hAnsi="宋体" w:cs="宋体"/>
                <w:color w:val="000000"/>
                <w:kern w:val="0"/>
                <w:szCs w:val="21"/>
              </w:rPr>
            </w:pPr>
            <w:r>
              <w:rPr>
                <w:rFonts w:ascii="宋体" w:hAnsi="宋体" w:cs="宋体"/>
                <w:color w:val="000000"/>
                <w:kern w:val="0"/>
                <w:szCs w:val="21"/>
              </w:rPr>
              <w:t>4</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[2016]029</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湛江市霞山文明路黄府大药房销售劣药案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湛江市霞山文明路黄府大药房</w:t>
            </w:r>
          </w:p>
        </w:tc>
        <w:tc>
          <w:tcPr>
            <w:tcW w:w="1323" w:type="dxa"/>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黄志文</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抽检“菟丝子”不合格</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依据《中华人民共和国药品管理法》第七十四条进行处罚，违反了《中华人民共和国药品管理法》第四十九条第一款及第三款第（三）项的规定</w:t>
            </w:r>
          </w:p>
          <w:p>
            <w:pPr>
              <w:widowControl/>
              <w:jc w:val="center"/>
              <w:textAlignment w:val="center"/>
              <w:rPr>
                <w:rFonts w:ascii="宋体" w:cs="宋体"/>
                <w:color w:val="000000"/>
                <w:kern w:val="0"/>
                <w:szCs w:val="21"/>
              </w:rPr>
            </w:pP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cs="宋体"/>
                <w:color w:val="000000"/>
                <w:kern w:val="0"/>
                <w:szCs w:val="21"/>
              </w:rPr>
            </w:pPr>
            <w:r>
              <w:rPr>
                <w:rFonts w:ascii="宋体" w:hAnsi="宋体" w:cs="宋体"/>
                <w:color w:val="000000"/>
                <w:kern w:val="0"/>
                <w:szCs w:val="21"/>
              </w:rPr>
              <w:t>5</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[2016]043</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湛江霞山金永安万众大药房销售劣药案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湛江市霞山区金永安万众大药房</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梁建洪</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抽检“砂仁”不合格</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依据《中华人民共和国药品管理法》第七十四条进行处罚，违反了《中华人民共和国药品管理法》第四十九条第一款及第三款第（三）项的规定</w:t>
            </w:r>
          </w:p>
          <w:p>
            <w:pPr>
              <w:widowControl/>
              <w:jc w:val="center"/>
              <w:textAlignment w:val="center"/>
              <w:rPr>
                <w:rFonts w:ascii="宋体" w:cs="宋体"/>
                <w:color w:val="000000"/>
                <w:kern w:val="0"/>
                <w:szCs w:val="21"/>
              </w:rPr>
            </w:pP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cs="宋体"/>
                <w:color w:val="000000"/>
                <w:kern w:val="0"/>
                <w:szCs w:val="21"/>
              </w:rPr>
            </w:pPr>
            <w:r>
              <w:rPr>
                <w:rFonts w:ascii="宋体" w:hAnsi="宋体" w:cs="宋体"/>
                <w:color w:val="000000"/>
                <w:kern w:val="0"/>
                <w:szCs w:val="21"/>
              </w:rPr>
              <w:t>6</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[2016]023</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湛江霞山康泰大药房销售劣药案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湛江霞山康泰大药房</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李庆虎</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抽检“牡丹皮”不合格</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依据《中华人民共和国药品管理法》第七十四条进行处罚，违反了《中华人民共和国药品管理法》第四十九条第一款及第三款第（三）项的规定</w:t>
            </w:r>
          </w:p>
          <w:p>
            <w:pPr>
              <w:widowControl/>
              <w:jc w:val="center"/>
              <w:textAlignment w:val="center"/>
              <w:rPr>
                <w:rFonts w:ascii="宋体" w:cs="宋体"/>
                <w:color w:val="000000"/>
                <w:kern w:val="0"/>
                <w:szCs w:val="21"/>
              </w:rPr>
            </w:pP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hAnsi="宋体" w:cs="宋体"/>
                <w:color w:val="000000"/>
                <w:kern w:val="0"/>
                <w:szCs w:val="21"/>
              </w:rPr>
            </w:pPr>
            <w:r>
              <w:rPr>
                <w:rFonts w:ascii="宋体" w:hAnsi="宋体" w:cs="宋体"/>
                <w:color w:val="000000"/>
                <w:kern w:val="0"/>
                <w:szCs w:val="21"/>
              </w:rPr>
              <w:t>7</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[2016]038</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湛江霞山益生药店从不具有药品生产经营资格企业购进药品案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湛江霞山益生药店</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叶虾仔</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“蜈蚣”“正鹿鞭”“水蛇”“鹿筋”等</w:t>
            </w:r>
            <w:r>
              <w:rPr>
                <w:rFonts w:ascii="宋体" w:hAnsi="宋体" w:cs="宋体"/>
                <w:color w:val="000000"/>
                <w:kern w:val="0"/>
                <w:szCs w:val="21"/>
              </w:rPr>
              <w:t>5</w:t>
            </w:r>
            <w:r>
              <w:rPr>
                <w:rFonts w:hint="eastAsia" w:ascii="宋体" w:hAnsi="宋体" w:cs="宋体"/>
                <w:color w:val="000000"/>
                <w:kern w:val="0"/>
                <w:szCs w:val="21"/>
              </w:rPr>
              <w:t>种中药饮片外包装没有任何标签标识和说明书</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依据《中华人民共和国药品管理法》第七十九条进行罚款，违反了《中华人民共和国药品管理法》第三十四条</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11</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cs="宋体"/>
                <w:color w:val="000000"/>
                <w:kern w:val="0"/>
                <w:szCs w:val="21"/>
              </w:rPr>
            </w:pPr>
            <w:r>
              <w:rPr>
                <w:rFonts w:ascii="宋体" w:hAnsi="宋体" w:cs="宋体"/>
                <w:color w:val="000000"/>
                <w:kern w:val="0"/>
                <w:szCs w:val="21"/>
              </w:rPr>
              <w:t>8</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湛霞食药监药罚</w:t>
            </w:r>
            <w:r>
              <w:rPr>
                <w:rFonts w:ascii="宋体" w:hAnsi="宋体" w:cs="宋体"/>
                <w:color w:val="000000"/>
                <w:kern w:val="0"/>
                <w:szCs w:val="21"/>
              </w:rPr>
              <w:t>[2016]032</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湛江霞山建新诊所从不具有药品生产经营资格企业购进药品案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湛江市霞山区建新诊所</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何刘文</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“龟甲、龙脷叶”等</w:t>
            </w:r>
            <w:r>
              <w:rPr>
                <w:rFonts w:ascii="宋体" w:hAnsi="宋体" w:cs="宋体"/>
                <w:color w:val="000000"/>
                <w:kern w:val="0"/>
                <w:szCs w:val="21"/>
              </w:rPr>
              <w:t>11</w:t>
            </w:r>
            <w:r>
              <w:rPr>
                <w:rFonts w:hint="eastAsia" w:ascii="宋体" w:hAnsi="宋体" w:cs="宋体"/>
                <w:color w:val="000000"/>
                <w:kern w:val="0"/>
                <w:szCs w:val="21"/>
              </w:rPr>
              <w:t>种中药饮片外包装没有任何标签标识和说明书</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依据《中华人民共和国药品管理法》第七十九条进行罚款，违反了《中华人民共和国药品管理法》第三十四条</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11</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cs="宋体"/>
                <w:color w:val="000000"/>
                <w:kern w:val="0"/>
                <w:szCs w:val="21"/>
              </w:rPr>
            </w:pPr>
            <w:r>
              <w:rPr>
                <w:rFonts w:ascii="宋体" w:hAnsi="宋体" w:cs="宋体"/>
                <w:color w:val="000000"/>
                <w:kern w:val="0"/>
                <w:szCs w:val="21"/>
              </w:rPr>
              <w:t>9</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湛霞食药监妆罚</w:t>
            </w:r>
            <w:r>
              <w:rPr>
                <w:rFonts w:ascii="宋体" w:hAnsi="宋体" w:cs="宋体"/>
                <w:color w:val="000000"/>
                <w:kern w:val="0"/>
                <w:szCs w:val="21"/>
              </w:rPr>
              <w:t>[2016]002</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湛江市霞山区鸿叶百货商行销售不能提供检验报告书的化妆品案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湛江市霞山区鸿叶百货商行</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叶亚养</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销售不能提供检验报告书的化妆品</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依据《国务院关于加强食品等产品安全监督管理的特别规定》第五条第二款的规定进行罚款，违反了《国务院关于加强食品等产品安全监督管理的特别规定》第五条第一款的规定</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湛霞食药监妆罚</w:t>
            </w:r>
            <w:r>
              <w:rPr>
                <w:rFonts w:ascii="宋体" w:hAnsi="宋体" w:cs="宋体"/>
                <w:color w:val="000000"/>
                <w:kern w:val="0"/>
                <w:szCs w:val="21"/>
              </w:rPr>
              <w:t>[2016]030</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湛江市霞山区湛新兴喜理发产品店销售不能提供检验报告书的化妆品案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湛江市霞山区湛新兴喜理发产品店</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陈小霞</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销售不能提供检验报告书的化妆品</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据《国务院关于加强食品等产品安全监督管理的特别规定》第五条第二款的规定进行罚款，违反了《国务院关于加强食品等产品安全监督管理的特别规定》第五条第一款的规定</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hAnsi="宋体" w:cs="宋体"/>
                <w:color w:val="000000"/>
                <w:kern w:val="0"/>
                <w:szCs w:val="21"/>
              </w:rPr>
            </w:pPr>
            <w:r>
              <w:rPr>
                <w:rFonts w:ascii="宋体" w:hAnsi="宋体" w:cs="宋体"/>
                <w:color w:val="000000"/>
                <w:kern w:val="0"/>
                <w:szCs w:val="21"/>
              </w:rPr>
              <w:t>11</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湛霞食药监妆罚</w:t>
            </w:r>
            <w:r>
              <w:rPr>
                <w:rFonts w:ascii="宋体" w:hAnsi="宋体" w:cs="宋体"/>
                <w:color w:val="000000"/>
                <w:kern w:val="0"/>
                <w:szCs w:val="21"/>
              </w:rPr>
              <w:t>[2016]006</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湛江市霞山区熙熙百货店销售不符合保障人体健康的国家标准的化妆品案</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湛江市霞山区熙熙百货店</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陈梅熙</w:t>
            </w:r>
          </w:p>
        </w:tc>
        <w:tc>
          <w:tcPr>
            <w:tcW w:w="1507" w:type="dxa"/>
            <w:vAlign w:val="center"/>
          </w:tcPr>
          <w:p>
            <w:pPr>
              <w:widowControl/>
              <w:jc w:val="center"/>
              <w:textAlignment w:val="center"/>
              <w:rPr>
                <w:rFonts w:ascii="宋体" w:cs="宋体"/>
                <w:color w:val="000000"/>
                <w:kern w:val="0"/>
                <w:szCs w:val="21"/>
              </w:rPr>
            </w:pPr>
            <w:bookmarkStart w:id="0" w:name="_GoBack"/>
            <w:bookmarkEnd w:id="0"/>
            <w:r>
              <w:rPr>
                <w:rFonts w:hint="eastAsia" w:ascii="宋体" w:hAnsi="宋体" w:cs="宋体"/>
                <w:color w:val="000000"/>
                <w:kern w:val="0"/>
                <w:szCs w:val="21"/>
              </w:rPr>
              <w:t>销售不符合保障人体健康的国家标准的化妆品</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据《国务院关于加强食品等产品安全监督管理的特别规定》第五条第二款的规定进行罚款，违反了《国务院关于加强食品等产品安全监督管理的特别规定》第五条第一款的规定</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11</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ascii="宋体" w:hAnsi="宋体" w:cs="宋体"/>
                <w:color w:val="000000"/>
                <w:kern w:val="0"/>
                <w:szCs w:val="21"/>
              </w:rPr>
            </w:pPr>
            <w:r>
              <w:rPr>
                <w:rFonts w:ascii="宋体" w:hAnsi="宋体" w:cs="宋体"/>
                <w:color w:val="000000"/>
                <w:kern w:val="0"/>
                <w:szCs w:val="21"/>
              </w:rPr>
              <w:t>12</w:t>
            </w:r>
          </w:p>
        </w:tc>
        <w:tc>
          <w:tcPr>
            <w:tcW w:w="162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湛霞食药监食罚</w:t>
            </w:r>
            <w:r>
              <w:rPr>
                <w:rFonts w:ascii="宋体" w:hAnsi="宋体" w:cs="宋体"/>
                <w:color w:val="000000"/>
                <w:kern w:val="0"/>
                <w:szCs w:val="21"/>
              </w:rPr>
              <w:t>[2016]011</w:t>
            </w:r>
            <w:r>
              <w:rPr>
                <w:rFonts w:hint="eastAsia" w:ascii="宋体" w:hAnsi="宋体" w:cs="宋体"/>
                <w:color w:val="000000"/>
                <w:kern w:val="0"/>
                <w:szCs w:val="21"/>
              </w:rPr>
              <w:t>号</w:t>
            </w:r>
          </w:p>
        </w:tc>
        <w:tc>
          <w:tcPr>
            <w:tcW w:w="1575"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湛江市霞山区张艳副食店经营无标签的散装食品</w:t>
            </w:r>
          </w:p>
        </w:tc>
        <w:tc>
          <w:tcPr>
            <w:tcW w:w="152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湛江市霞山区张艳副食店</w:t>
            </w:r>
          </w:p>
        </w:tc>
        <w:tc>
          <w:tcPr>
            <w:tcW w:w="1323"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w:t>
            </w:r>
          </w:p>
        </w:tc>
        <w:tc>
          <w:tcPr>
            <w:tcW w:w="12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张艳</w:t>
            </w:r>
          </w:p>
        </w:tc>
        <w:tc>
          <w:tcPr>
            <w:tcW w:w="1507"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lang w:eastAsia="zh-CN"/>
              </w:rPr>
              <w:t>经营</w:t>
            </w:r>
            <w:r>
              <w:rPr>
                <w:rFonts w:hint="eastAsia" w:ascii="宋体" w:hAnsi="宋体" w:cs="宋体"/>
                <w:color w:val="000000"/>
                <w:kern w:val="0"/>
                <w:szCs w:val="21"/>
              </w:rPr>
              <w:t>无标签无标识的散装食品</w:t>
            </w:r>
          </w:p>
        </w:tc>
        <w:tc>
          <w:tcPr>
            <w:tcW w:w="180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依据《中华人民共和国食品安全法》第一百二十五条进行处罚违反了《中华人民共和国食品安全法》第六十八条</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162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湛霞食药监食罚</w:t>
            </w:r>
            <w:r>
              <w:rPr>
                <w:rFonts w:ascii="宋体" w:hAnsi="宋体" w:cs="宋体"/>
                <w:color w:val="000000"/>
                <w:kern w:val="0"/>
                <w:szCs w:val="21"/>
              </w:rPr>
              <w:t>[2016]</w:t>
            </w:r>
            <w:r>
              <w:rPr>
                <w:rFonts w:hint="eastAsia" w:ascii="宋体" w:hAnsi="宋体" w:cs="宋体"/>
                <w:color w:val="000000"/>
                <w:kern w:val="0"/>
                <w:szCs w:val="21"/>
              </w:rPr>
              <w:t>008号</w:t>
            </w:r>
          </w:p>
        </w:tc>
        <w:tc>
          <w:tcPr>
            <w:tcW w:w="1575"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湛江市霞山区洪秋永粮油店经营无标签的散装食品</w:t>
            </w:r>
          </w:p>
        </w:tc>
        <w:tc>
          <w:tcPr>
            <w:tcW w:w="1520"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湛江市霞山区洪秋永粮油店</w:t>
            </w:r>
          </w:p>
        </w:tc>
        <w:tc>
          <w:tcPr>
            <w:tcW w:w="1323"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c>
          <w:tcPr>
            <w:tcW w:w="1208"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洪秋永</w:t>
            </w:r>
          </w:p>
        </w:tc>
        <w:tc>
          <w:tcPr>
            <w:tcW w:w="1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eastAsia="zh-CN"/>
              </w:rPr>
              <w:t>经营</w:t>
            </w:r>
            <w:r>
              <w:rPr>
                <w:rFonts w:hint="eastAsia" w:ascii="宋体" w:hAnsi="宋体" w:cs="宋体"/>
                <w:color w:val="000000"/>
                <w:kern w:val="0"/>
                <w:szCs w:val="21"/>
              </w:rPr>
              <w:t>无标签无标识的散装食品</w:t>
            </w:r>
          </w:p>
        </w:tc>
        <w:tc>
          <w:tcPr>
            <w:tcW w:w="1800"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依据《中华人民共和国食品安全法》第一百二十五条进行处罚违反了《中华人民共和国食品安全法》第六十八条</w:t>
            </w:r>
          </w:p>
        </w:tc>
        <w:tc>
          <w:tcPr>
            <w:tcW w:w="1320" w:type="dxa"/>
            <w:shd w:val="clear" w:color="auto" w:fill="FFFFFF"/>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自动履行</w:t>
            </w:r>
          </w:p>
          <w:p>
            <w:pPr>
              <w:widowControl/>
              <w:jc w:val="center"/>
              <w:textAlignment w:val="center"/>
              <w:rPr>
                <w:rFonts w:ascii="宋体" w:cs="宋体"/>
                <w:color w:val="000000"/>
                <w:kern w:val="0"/>
                <w:szCs w:val="21"/>
              </w:rPr>
            </w:pPr>
          </w:p>
        </w:tc>
        <w:tc>
          <w:tcPr>
            <w:tcW w:w="1478"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湛江市霞山区食品药品监督管理局</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cs="宋体"/>
                <w:color w:val="000000"/>
                <w:kern w:val="0"/>
                <w:szCs w:val="21"/>
              </w:rPr>
              <w:t>月</w:t>
            </w:r>
          </w:p>
        </w:tc>
        <w:tc>
          <w:tcPr>
            <w:tcW w:w="724" w:type="dxa"/>
          </w:tcPr>
          <w:p>
            <w:pPr>
              <w:widowControl/>
              <w:jc w:val="center"/>
              <w:textAlignment w:val="center"/>
              <w:rPr>
                <w:rFonts w:ascii="宋体" w:cs="宋体"/>
                <w:color w:val="000000"/>
                <w:kern w:val="0"/>
                <w:szCs w:val="21"/>
              </w:rPr>
            </w:pPr>
          </w:p>
        </w:tc>
      </w:tr>
    </w:tbl>
    <w:p>
      <w:pPr>
        <w:jc w:val="center"/>
        <w:rPr>
          <w:sz w:val="24"/>
        </w:rPr>
      </w:pPr>
    </w:p>
    <w:p/>
    <w:sectPr>
      <w:headerReference r:id="rId3" w:type="default"/>
      <w:footerReference r:id="rId4" w:type="default"/>
      <w:footerReference r:id="rId5" w:type="even"/>
      <w:pgSz w:w="16838" w:h="11906" w:orient="landscape"/>
      <w:pgMar w:top="1304" w:right="1134" w:bottom="130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1A"/>
    <w:rsid w:val="00015F46"/>
    <w:rsid w:val="00053B9F"/>
    <w:rsid w:val="00072E1A"/>
    <w:rsid w:val="00090E70"/>
    <w:rsid w:val="00226BAA"/>
    <w:rsid w:val="002B169C"/>
    <w:rsid w:val="00303AE6"/>
    <w:rsid w:val="003542D9"/>
    <w:rsid w:val="003C1B48"/>
    <w:rsid w:val="00485632"/>
    <w:rsid w:val="00536F94"/>
    <w:rsid w:val="005517F8"/>
    <w:rsid w:val="0060046B"/>
    <w:rsid w:val="006410B7"/>
    <w:rsid w:val="006A2C0E"/>
    <w:rsid w:val="00724CF8"/>
    <w:rsid w:val="00747BEA"/>
    <w:rsid w:val="007E1E50"/>
    <w:rsid w:val="00827AA8"/>
    <w:rsid w:val="0087389B"/>
    <w:rsid w:val="008B62A7"/>
    <w:rsid w:val="008C1E9A"/>
    <w:rsid w:val="00995774"/>
    <w:rsid w:val="00A97305"/>
    <w:rsid w:val="00B42866"/>
    <w:rsid w:val="00C66CEF"/>
    <w:rsid w:val="00D66E01"/>
    <w:rsid w:val="00DB3E32"/>
    <w:rsid w:val="00F207C1"/>
    <w:rsid w:val="00F252A0"/>
    <w:rsid w:val="00FC2E8A"/>
    <w:rsid w:val="099F2E13"/>
    <w:rsid w:val="0DBD6180"/>
    <w:rsid w:val="0F3F25AF"/>
    <w:rsid w:val="2DC6683A"/>
    <w:rsid w:val="325B30B3"/>
    <w:rsid w:val="38ED3035"/>
    <w:rsid w:val="47145433"/>
    <w:rsid w:val="54DF2F73"/>
    <w:rsid w:val="54FC3DE7"/>
    <w:rsid w:val="569B53A6"/>
    <w:rsid w:val="5A0438DC"/>
    <w:rsid w:val="680B317B"/>
    <w:rsid w:val="695313E7"/>
    <w:rsid w:val="6B093DD9"/>
    <w:rsid w:val="761104DE"/>
    <w:rsid w:val="7A3C0F1E"/>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locked/>
    <w:uiPriority w:val="99"/>
    <w:rPr>
      <w:rFonts w:cs="Times New Roman"/>
      <w:sz w:val="18"/>
      <w:szCs w:val="18"/>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342</Words>
  <Characters>1950</Characters>
  <Lines>0</Lines>
  <Paragraphs>0</Paragraphs>
  <TotalTime>0</TotalTime>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2016-07-25T01:10:00Z</dcterms:created>
  <dc:creator>dongate</dc:creator>
  <cp:lastModifiedBy>Administrator</cp:lastModifiedBy>
  <dcterms:modified xsi:type="dcterms:W3CDTF">2016-12-05T07:37:24Z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